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Implementación</w:t>
      </w:r>
      <w:r>
        <w:t xml:space="preserve"> </w:t>
      </w:r>
      <w:r>
        <w:t xml:space="preserve">de</w:t>
      </w:r>
      <w:r>
        <w:t xml:space="preserve"> </w:t>
      </w:r>
      <w:r>
        <w:t xml:space="preserve">CISO-18</w:t>
      </w:r>
      <w:r>
        <w:t xml:space="preserve"> </w:t>
      </w:r>
      <w:r>
        <w:t xml:space="preserve">y</w:t>
      </w:r>
      <w:r>
        <w:t xml:space="preserve"> </w:t>
      </w:r>
      <w:r>
        <w:t xml:space="preserve">su</w:t>
      </w:r>
      <w:r>
        <w:t xml:space="preserve"> </w:t>
      </w:r>
      <w:r>
        <w:t xml:space="preserve">impacto</w:t>
      </w:r>
      <w:r>
        <w:t xml:space="preserve"> </w:t>
      </w:r>
      <w:r>
        <w:t xml:space="preserve">estadístico</w:t>
      </w:r>
    </w:p>
    <w:p>
      <w:pPr>
        <w:pStyle w:val="Subtitle"/>
      </w:pPr>
      <w:r>
        <w:t xml:space="preserve">Plantilla</w:t>
      </w:r>
      <w:r>
        <w:t xml:space="preserve"> </w:t>
      </w:r>
      <w:r>
        <w:t xml:space="preserve">Quarto</w:t>
      </w:r>
      <w:r>
        <w:t xml:space="preserve"> </w:t>
      </w:r>
      <w:r>
        <w:t xml:space="preserve">para</w:t>
      </w:r>
      <w:r>
        <w:t xml:space="preserve"> </w:t>
      </w:r>
      <w:r>
        <w:t xml:space="preserve">Word</w:t>
      </w:r>
      <w:r>
        <w:t xml:space="preserve"> </w:t>
      </w:r>
      <w:r>
        <w:t xml:space="preserve">(estructura</w:t>
      </w:r>
      <w:r>
        <w:t xml:space="preserve"> </w:t>
      </w:r>
      <w:r>
        <w:t xml:space="preserve">base)</w:t>
      </w:r>
    </w:p>
    <w:p>
      <w:pPr>
        <w:pStyle w:val="Author"/>
      </w:pPr>
      <w:r>
        <w:t xml:space="preserve">Alvaro</w:t>
      </w:r>
      <w:r>
        <w:t xml:space="preserve"> </w:t>
      </w:r>
      <w:r>
        <w:t xml:space="preserve">Marcelo</w:t>
      </w:r>
      <w:r>
        <w:t xml:space="preserve"> </w:t>
      </w:r>
      <w:r>
        <w:t xml:space="preserve">Krause</w:t>
      </w:r>
      <w:r>
        <w:t xml:space="preserve"> </w:t>
      </w:r>
      <w:r>
        <w:t xml:space="preserve">Salazar</w:t>
      </w:r>
    </w:p>
    <w:p>
      <w:pPr>
        <w:pStyle w:val="Date"/>
      </w:pPr>
      <w:r>
        <w:t xml:space="preserve">2026-01-26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</w:t>
          </w:r>
          <w:r>
            <w:t xml:space="preserve"> </w:t>
          </w:r>
          <w:r>
            <w:t xml:space="preserve">de</w:t>
          </w:r>
          <w:r>
            <w:t xml:space="preserve"> </w:t>
          </w: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KRAUSE\AppData\Local\Programs\Quarto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Cs/>
                <w:b/>
              </w:rPr>
              <w:t xml:space="preserve">Nota</w:t>
            </w:r>
            <w:r>
              <w:t xml:space="preserve">: Esta plantilla usa la denominación</w:t>
            </w:r>
            <w:r>
              <w:t xml:space="preserve"> </w:t>
            </w:r>
            <w:r>
              <w:rPr>
                <w:bCs/>
                <w:b/>
              </w:rPr>
              <w:t xml:space="preserve">CISO-18</w:t>
            </w:r>
            <w:r>
              <w:t xml:space="preserve"> </w:t>
            </w:r>
            <w:r>
              <w:t xml:space="preserve">tal como la requieres. Si en algún momento necesitas alinearla con la nomenclatura internacional (</w:t>
            </w:r>
            <w:r>
              <w:rPr>
                <w:bCs/>
                <w:b/>
              </w:rPr>
              <w:t xml:space="preserve">ICSE‑18</w:t>
            </w:r>
            <w:r>
              <w:t xml:space="preserve">), basta con reemplazar el término en los encabezados.</w:t>
            </w:r>
          </w:p>
        </w:tc>
      </w:tr>
    </w:tbl>
    <w:bookmarkStart w:id="23" w:name="presentación"/>
    <w:p>
      <w:pPr>
        <w:pStyle w:val="Heading1"/>
      </w:pPr>
      <w:r>
        <w:t xml:space="preserve">1. Presentación</w:t>
      </w:r>
    </w:p>
    <w:p>
      <w:pPr>
        <w:pStyle w:val="BlockText"/>
      </w:pPr>
      <w:r>
        <w:rPr>
          <w:bCs/>
          <w:b/>
        </w:rPr>
        <w:t xml:space="preserve">Objetivo</w:t>
      </w:r>
      <w:r>
        <w:t xml:space="preserve">. Este documento presenta la adopción y aplicación de la clasificación</w:t>
      </w:r>
      <w:r>
        <w:t xml:space="preserve"> </w:t>
      </w:r>
      <w:r>
        <w:rPr>
          <w:bCs/>
          <w:b/>
        </w:rPr>
        <w:t xml:space="preserve">CISO‑18</w:t>
      </w:r>
      <w:r>
        <w:t xml:space="preserve"> </w:t>
      </w:r>
      <w:r>
        <w:t xml:space="preserve">en la ENE, proponiendo el algoritmo operativo, la identificación y caracterización de</w:t>
      </w:r>
      <w:r>
        <w:t xml:space="preserve"> </w:t>
      </w:r>
      <w:r>
        <w:rPr>
          <w:bCs/>
          <w:b/>
        </w:rPr>
        <w:t xml:space="preserve">contratistas dependientes</w:t>
      </w:r>
      <w:r>
        <w:t xml:space="preserve">, y el impacto esperado en la medición de la</w:t>
      </w:r>
      <w:r>
        <w:t xml:space="preserve"> </w:t>
      </w:r>
      <w:r>
        <w:rPr>
          <w:bCs/>
          <w:b/>
        </w:rPr>
        <w:t xml:space="preserve">informalidad laboral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Estructura</w:t>
      </w:r>
      <w:r>
        <w:t xml:space="preserve">. El informe se organiza en seis capítulos y un anexo de referencias.</w:t>
      </w:r>
    </w:p>
    <w:bookmarkEnd w:id="23"/>
    <w:bookmarkStart w:id="25" w:name="X12a00cfe166ae13e25d19de01bbe7e332b000e5"/>
    <w:p>
      <w:pPr>
        <w:pStyle w:val="Heading1"/>
      </w:pPr>
      <w:r>
        <w:t xml:space="preserve">2. Antecedentes y aspectos conceptuales de la clasificación CISO-18</w:t>
      </w:r>
    </w:p>
    <w:p>
      <w:pPr>
        <w:numPr>
          <w:ilvl w:val="0"/>
          <w:numId w:val="1001"/>
        </w:numPr>
        <w:pStyle w:val="Compact"/>
      </w:pPr>
      <w:r>
        <w:t xml:space="preserve">Contexto CIET‑20 (2018) y resoluciones sobre relaciones de trabajo. Este estudio utiliza datos de registros administrativos</w:t>
      </w:r>
      <w:r>
        <w:rPr>
          <w:rStyle w:val="FootnoteReference"/>
        </w:rPr>
        <w:footnoteReference w:id="24"/>
      </w:r>
      <w:r>
        <w:t xml:space="preserve"> </w:t>
      </w:r>
      <w:r>
        <w:t xml:space="preserve">(más texto)</w:t>
      </w:r>
    </w:p>
    <w:p>
      <w:pPr>
        <w:numPr>
          <w:ilvl w:val="0"/>
          <w:numId w:val="1002"/>
        </w:numPr>
        <w:pStyle w:val="Compact"/>
      </w:pPr>
      <w:r>
        <w:t xml:space="preserve">Fundamentos conceptuales:</w:t>
      </w:r>
      <w:r>
        <w:t xml:space="preserve"> </w:t>
      </w:r>
      <w:r>
        <w:rPr>
          <w:bCs/>
          <w:b/>
        </w:rPr>
        <w:t xml:space="preserve">tipo de autoridad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riesgo económico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Relación con CISeT‑18 (todas las formas de trabajo) y con CISE‑93.</w:t>
      </w:r>
    </w:p>
    <w:bookmarkEnd w:id="25"/>
    <w:bookmarkStart w:id="32" w:name="Xa43267e0306bc48f164904c33a0b27fa07365ce"/>
    <w:p>
      <w:pPr>
        <w:pStyle w:val="Heading1"/>
      </w:pPr>
      <w:r>
        <w:t xml:space="preserve">3. Definición del algoritmo para la aplicación de la CISO-18</w:t>
      </w:r>
    </w:p>
    <w:bookmarkStart w:id="26" w:name="preguntas-existentes"/>
    <w:p>
      <w:pPr>
        <w:pStyle w:val="Heading2"/>
      </w:pPr>
      <w:r>
        <w:t xml:space="preserve">3.1 Preguntas existentes</w:t>
      </w:r>
    </w:p>
    <w:p>
      <w:pPr>
        <w:numPr>
          <w:ilvl w:val="0"/>
          <w:numId w:val="1003"/>
        </w:numPr>
        <w:pStyle w:val="Compact"/>
      </w:pPr>
      <w:r>
        <w:t xml:space="preserve">Inventario de variables ENE relevantes (listar nombres de variables y periodos de vigencia).</w:t>
      </w:r>
    </w:p>
    <w:p>
      <w:pPr>
        <w:numPr>
          <w:ilvl w:val="0"/>
          <w:numId w:val="1003"/>
        </w:numPr>
        <w:pStyle w:val="Compact"/>
      </w:pPr>
      <w:r>
        <w:t xml:space="preserve">Mapeo de preguntas a dimensiones de</w:t>
      </w:r>
      <w:r>
        <w:t xml:space="preserve"> </w:t>
      </w:r>
      <w:r>
        <w:rPr>
          <w:bCs/>
          <w:b/>
        </w:rPr>
        <w:t xml:space="preserve">autoridad</w:t>
      </w:r>
      <w:r>
        <w:t xml:space="preserve">/</w:t>
      </w:r>
      <w:r>
        <w:rPr>
          <w:bCs/>
          <w:b/>
        </w:rPr>
        <w:t xml:space="preserve">riesgo económico</w:t>
      </w:r>
      <w:r>
        <w:t xml:space="preserve">.</w:t>
      </w:r>
    </w:p>
    <w:bookmarkEnd w:id="26"/>
    <w:bookmarkStart w:id="27" w:name="preguntas-incorporadas-al-cuestionario"/>
    <w:p>
      <w:pPr>
        <w:pStyle w:val="Heading2"/>
      </w:pPr>
      <w:r>
        <w:t xml:space="preserve">3.2 Preguntas incorporadas al cuestionario</w:t>
      </w:r>
    </w:p>
    <w:p>
      <w:pPr>
        <w:numPr>
          <w:ilvl w:val="0"/>
          <w:numId w:val="1004"/>
        </w:numPr>
        <w:pStyle w:val="Compact"/>
      </w:pPr>
      <w:r>
        <w:t xml:space="preserve">Nuevos ítems para capturar</w:t>
      </w:r>
      <w:r>
        <w:t xml:space="preserve"> </w:t>
      </w:r>
      <w:r>
        <w:rPr>
          <w:bCs/>
          <w:b/>
        </w:rPr>
        <w:t xml:space="preserve">dependencia económica</w:t>
      </w:r>
      <w:r>
        <w:t xml:space="preserve">,</w:t>
      </w:r>
      <w:r>
        <w:t xml:space="preserve"> </w:t>
      </w:r>
      <w:r>
        <w:rPr>
          <w:bCs/>
          <w:b/>
        </w:rPr>
        <w:t xml:space="preserve">control del trabajo</w:t>
      </w:r>
      <w:r>
        <w:t xml:space="preserve">,</w:t>
      </w:r>
      <w:r>
        <w:t xml:space="preserve"> </w:t>
      </w:r>
      <w:r>
        <w:rPr>
          <w:bCs/>
          <w:b/>
        </w:rPr>
        <w:t xml:space="preserve">propiedad de medios</w:t>
      </w:r>
      <w:r>
        <w:t xml:space="preserve">,</w:t>
      </w:r>
      <w:r>
        <w:t xml:space="preserve"> </w:t>
      </w:r>
      <w:r>
        <w:rPr>
          <w:bCs/>
          <w:b/>
        </w:rPr>
        <w:t xml:space="preserve">número/tipo de clientes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Especificar texto de pregunta, universo, saltos lógicos y opciones de respuesta.</w:t>
      </w:r>
    </w:p>
    <w:bookmarkEnd w:id="27"/>
    <w:bookmarkStart w:id="28" w:name="X13dde6d51e9bea4f2790025441f5e5e30d916a7"/>
    <w:p>
      <w:pPr>
        <w:pStyle w:val="Heading2"/>
      </w:pPr>
      <w:r>
        <w:t xml:space="preserve">3.3 Preguntas previamente existentes en la encuesta</w:t>
      </w:r>
    </w:p>
    <w:p>
      <w:pPr>
        <w:numPr>
          <w:ilvl w:val="0"/>
          <w:numId w:val="1005"/>
        </w:numPr>
        <w:pStyle w:val="Compact"/>
      </w:pPr>
      <w:r>
        <w:t xml:space="preserve">Ítems históricos reutilizables y su recodificación.</w:t>
      </w:r>
    </w:p>
    <w:p>
      <w:pPr>
        <w:numPr>
          <w:ilvl w:val="0"/>
          <w:numId w:val="1005"/>
        </w:numPr>
        <w:pStyle w:val="Compact"/>
      </w:pPr>
      <w:r>
        <w:t xml:space="preserve">Consideraciones de</w:t>
      </w:r>
      <w:r>
        <w:t xml:space="preserve"> </w:t>
      </w:r>
      <w:r>
        <w:rPr>
          <w:bCs/>
          <w:b/>
        </w:rPr>
        <w:t xml:space="preserve">comparabilidad</w:t>
      </w:r>
      <w:r>
        <w:t xml:space="preserve"> </w:t>
      </w:r>
      <w:r>
        <w:t xml:space="preserve">temporal.</w:t>
      </w:r>
    </w:p>
    <w:bookmarkEnd w:id="28"/>
    <w:bookmarkStart w:id="29" w:name="Xdd4f9ff284a9c5ff0aee54b549c7f7986700179"/>
    <w:p>
      <w:pPr>
        <w:pStyle w:val="Heading2"/>
      </w:pPr>
      <w:r>
        <w:t xml:space="preserve">3.4 2.4. Definición del algoritmo para la aplicación de la CISO-18</w:t>
      </w:r>
    </w:p>
    <w:p>
      <w:pPr>
        <w:numPr>
          <w:ilvl w:val="0"/>
          <w:numId w:val="1006"/>
        </w:numPr>
        <w:pStyle w:val="Compact"/>
      </w:pPr>
      <w:r>
        <w:t xml:space="preserve">Reglas de</w:t>
      </w:r>
      <w:r>
        <w:t xml:space="preserve"> </w:t>
      </w:r>
      <w:r>
        <w:rPr>
          <w:bCs/>
          <w:b/>
        </w:rPr>
        <w:t xml:space="preserve">edición/validación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Filtros previos y población objetivo.</w:t>
      </w:r>
    </w:p>
    <w:p>
      <w:pPr>
        <w:numPr>
          <w:ilvl w:val="0"/>
          <w:numId w:val="1006"/>
        </w:numPr>
        <w:pStyle w:val="Compact"/>
      </w:pPr>
      <w:r>
        <w:t xml:space="preserve">Árbol de decisión y</w:t>
      </w:r>
      <w:r>
        <w:t xml:space="preserve"> </w:t>
      </w:r>
      <w:r>
        <w:rPr>
          <w:bCs/>
          <w:b/>
        </w:rPr>
        <w:t xml:space="preserve">prioridad de reglas</w:t>
      </w:r>
      <w:r>
        <w:t xml:space="preserve"> </w:t>
      </w:r>
      <w:r>
        <w:t xml:space="preserve">(pseudocódigo/quarto code chunk a insertar).</w:t>
      </w:r>
    </w:p>
    <w:bookmarkEnd w:id="29"/>
    <w:bookmarkStart w:id="30" w:name="X5fa36a05f767387976b0aa963f1a9ba8d73dc7a"/>
    <w:p>
      <w:pPr>
        <w:pStyle w:val="Heading2"/>
      </w:pPr>
      <w:r>
        <w:t xml:space="preserve">3.5 2.5. Análisis estadístico para evaluar las variables de dependencia</w:t>
      </w:r>
    </w:p>
    <w:p>
      <w:pPr>
        <w:numPr>
          <w:ilvl w:val="0"/>
          <w:numId w:val="1007"/>
        </w:numPr>
        <w:pStyle w:val="Compact"/>
      </w:pPr>
      <w:r>
        <w:t xml:space="preserve">Evaluación de</w:t>
      </w:r>
      <w:r>
        <w:t xml:space="preserve"> </w:t>
      </w:r>
      <w:r>
        <w:rPr>
          <w:bCs/>
          <w:b/>
        </w:rPr>
        <w:t xml:space="preserve">confiabilidad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validez</w:t>
      </w:r>
      <w:r>
        <w:t xml:space="preserve"> </w:t>
      </w:r>
      <w:r>
        <w:t xml:space="preserve">(p. ej., VIF, correlaciones, modelos logit/probit auxiliares).</w:t>
      </w:r>
    </w:p>
    <w:p>
      <w:pPr>
        <w:numPr>
          <w:ilvl w:val="0"/>
          <w:numId w:val="1007"/>
        </w:numPr>
        <w:pStyle w:val="Compact"/>
      </w:pPr>
      <w:r>
        <w:t xml:space="preserve">Sensibilidad a umbrales (análisis de</w:t>
      </w:r>
      <w:r>
        <w:t xml:space="preserve"> </w:t>
      </w:r>
      <w:r>
        <w:rPr>
          <w:bCs/>
          <w:b/>
        </w:rPr>
        <w:t xml:space="preserve">robustez</w:t>
      </w:r>
      <w:r>
        <w:t xml:space="preserve">).</w:t>
      </w:r>
    </w:p>
    <w:bookmarkEnd w:id="30"/>
    <w:bookmarkStart w:id="31" w:name="X52f51f242ee00a74b2c818949a9c21b773a04ab"/>
    <w:p>
      <w:pPr>
        <w:pStyle w:val="Heading2"/>
      </w:pPr>
      <w:r>
        <w:t xml:space="preserve">3.6 2.6. Tratamiento de trabajadores en plataformas digitales</w:t>
      </w:r>
    </w:p>
    <w:p>
      <w:pPr>
        <w:numPr>
          <w:ilvl w:val="0"/>
          <w:numId w:val="1008"/>
        </w:numPr>
        <w:pStyle w:val="Compact"/>
      </w:pPr>
      <w:r>
        <w:t xml:space="preserve">Criterios de identificación.</w:t>
      </w:r>
    </w:p>
    <w:p>
      <w:pPr>
        <w:numPr>
          <w:ilvl w:val="0"/>
          <w:numId w:val="1008"/>
        </w:numPr>
        <w:pStyle w:val="Compact"/>
      </w:pPr>
      <w:r>
        <w:t xml:space="preserve">Casos fronterizos y clasificación prioritaria bajo CISO‑18.</w:t>
      </w:r>
    </w:p>
    <w:bookmarkEnd w:id="31"/>
    <w:bookmarkEnd w:id="32"/>
    <w:bookmarkStart w:id="38" w:name="X1d92c804e356cd06a6bba37e8861ac8abf22367"/>
    <w:p>
      <w:pPr>
        <w:pStyle w:val="Heading1"/>
      </w:pPr>
      <w:r>
        <w:t xml:space="preserve">4. 3. Estimación y caracterización de contratistas dependientes</w:t>
      </w:r>
    </w:p>
    <w:bookmarkStart w:id="33" w:name="Xe6fa7510ff6dd0460a63468482efe3c607607cf"/>
    <w:p>
      <w:pPr>
        <w:pStyle w:val="Heading2"/>
      </w:pPr>
      <w:r>
        <w:t xml:space="preserve">4.1 3.1. Identificación contratistas dependientes dentro de los trabajadores por cuenta propia</w:t>
      </w:r>
    </w:p>
    <w:p>
      <w:pPr>
        <w:numPr>
          <w:ilvl w:val="0"/>
          <w:numId w:val="1009"/>
        </w:numPr>
        <w:pStyle w:val="Compact"/>
      </w:pPr>
      <w:r>
        <w:t xml:space="preserve">Algoritmo de detección y reglas de reasignación.</w:t>
      </w:r>
    </w:p>
    <w:p>
      <w:pPr>
        <w:numPr>
          <w:ilvl w:val="0"/>
          <w:numId w:val="1009"/>
        </w:numPr>
        <w:pStyle w:val="Compact"/>
      </w:pPr>
      <w:r>
        <w:t xml:space="preserve">Indicadores de dependencia económica.</w:t>
      </w:r>
    </w:p>
    <w:bookmarkEnd w:id="33"/>
    <w:bookmarkStart w:id="34" w:name="X82931f2bd892f2097106c90aee4e92bd9fc5bf1"/>
    <w:p>
      <w:pPr>
        <w:pStyle w:val="Heading2"/>
      </w:pPr>
      <w:r>
        <w:t xml:space="preserve">4.2 3.2. Identificación contratistas dependientes dentro de los trabajadores asalariados</w:t>
      </w:r>
    </w:p>
    <w:p>
      <w:pPr>
        <w:numPr>
          <w:ilvl w:val="0"/>
          <w:numId w:val="1010"/>
        </w:numPr>
        <w:pStyle w:val="Compact"/>
      </w:pPr>
      <w:r>
        <w:t xml:space="preserve">Casos de</w:t>
      </w:r>
      <w:r>
        <w:t xml:space="preserve"> </w:t>
      </w:r>
      <w:r>
        <w:rPr>
          <w:bCs/>
          <w:b/>
        </w:rPr>
        <w:t xml:space="preserve">subordinación contractual</w:t>
      </w:r>
      <w:r>
        <w:t xml:space="preserve"> </w:t>
      </w:r>
      <w:r>
        <w:t xml:space="preserve">vs. </w:t>
      </w:r>
      <w:r>
        <w:rPr>
          <w:bCs/>
          <w:b/>
        </w:rPr>
        <w:t xml:space="preserve">dependencia económica</w:t>
      </w:r>
      <w:r>
        <w:t xml:space="preserve">.</w:t>
      </w:r>
    </w:p>
    <w:bookmarkEnd w:id="34"/>
    <w:bookmarkStart w:id="35" w:name="X5136bec8bae30e9d773cc7e2dcd68aa346ce5eb"/>
    <w:p>
      <w:pPr>
        <w:pStyle w:val="Heading2"/>
      </w:pPr>
      <w:r>
        <w:t xml:space="preserve">4.3 3.3. Estimación total de contratistas dependientes</w:t>
      </w:r>
    </w:p>
    <w:p>
      <w:pPr>
        <w:numPr>
          <w:ilvl w:val="0"/>
          <w:numId w:val="1011"/>
        </w:numPr>
        <w:pStyle w:val="Compact"/>
      </w:pPr>
      <w:r>
        <w:t xml:space="preserve">Serie trimestral/anual, supuestos y métodos de estimación.</w:t>
      </w:r>
    </w:p>
    <w:bookmarkEnd w:id="35"/>
    <w:bookmarkStart w:id="36" w:name="Xe7b1b596cf0107f008306f3ba54a7a781c07e8d"/>
    <w:p>
      <w:pPr>
        <w:pStyle w:val="Heading2"/>
      </w:pPr>
      <w:r>
        <w:t xml:space="preserve">4.4 3.4. Impacto en la clasificación final CISE-93 vs CISO-18</w:t>
      </w:r>
    </w:p>
    <w:p>
      <w:pPr>
        <w:numPr>
          <w:ilvl w:val="0"/>
          <w:numId w:val="1012"/>
        </w:numPr>
        <w:pStyle w:val="Compact"/>
      </w:pPr>
      <w:r>
        <w:t xml:space="preserve">Reasignaciones netas por categoría.</w:t>
      </w:r>
    </w:p>
    <w:p>
      <w:pPr>
        <w:numPr>
          <w:ilvl w:val="0"/>
          <w:numId w:val="1012"/>
        </w:numPr>
        <w:pStyle w:val="Compact"/>
      </w:pPr>
      <w:r>
        <w:t xml:space="preserve">Efectos sobre tasas y composiciones.</w:t>
      </w:r>
    </w:p>
    <w:bookmarkEnd w:id="36"/>
    <w:bookmarkStart w:id="37" w:name="Xe21756fb5f4172b34f5a4993787a7e58474a355"/>
    <w:p>
      <w:pPr>
        <w:pStyle w:val="Heading2"/>
      </w:pPr>
      <w:r>
        <w:t xml:space="preserve">4.5 3.5. Caracterización de los contratistas dependientes</w:t>
      </w:r>
    </w:p>
    <w:p>
      <w:pPr>
        <w:numPr>
          <w:ilvl w:val="0"/>
          <w:numId w:val="1013"/>
        </w:numPr>
        <w:pStyle w:val="Compact"/>
      </w:pPr>
      <w:r>
        <w:t xml:space="preserve">Distribuciones por</w:t>
      </w:r>
      <w:r>
        <w:t xml:space="preserve"> </w:t>
      </w:r>
      <w:r>
        <w:rPr>
          <w:bCs/>
          <w:b/>
        </w:rPr>
        <w:t xml:space="preserve">sexo</w:t>
      </w:r>
      <w:r>
        <w:t xml:space="preserve">,</w:t>
      </w:r>
      <w:r>
        <w:t xml:space="preserve"> </w:t>
      </w:r>
      <w:r>
        <w:rPr>
          <w:bCs/>
          <w:b/>
        </w:rPr>
        <w:t xml:space="preserve">edad</w:t>
      </w:r>
      <w:r>
        <w:t xml:space="preserve">,</w:t>
      </w:r>
      <w:r>
        <w:t xml:space="preserve"> </w:t>
      </w:r>
      <w:r>
        <w:rPr>
          <w:bCs/>
          <w:b/>
        </w:rPr>
        <w:t xml:space="preserve">nacionalidad</w:t>
      </w:r>
      <w:r>
        <w:t xml:space="preserve">,</w:t>
      </w:r>
      <w:r>
        <w:t xml:space="preserve"> </w:t>
      </w:r>
      <w:r>
        <w:rPr>
          <w:bCs/>
          <w:b/>
        </w:rPr>
        <w:t xml:space="preserve">región</w:t>
      </w:r>
      <w:r>
        <w:t xml:space="preserve">,</w:t>
      </w:r>
      <w:r>
        <w:t xml:space="preserve"> </w:t>
      </w:r>
      <w:r>
        <w:rPr>
          <w:bCs/>
          <w:b/>
        </w:rPr>
        <w:t xml:space="preserve">rama de actividad</w:t>
      </w:r>
      <w:r>
        <w:t xml:space="preserve">,</w:t>
      </w:r>
      <w:r>
        <w:t xml:space="preserve"> </w:t>
      </w:r>
      <w:r>
        <w:rPr>
          <w:bCs/>
          <w:b/>
        </w:rPr>
        <w:t xml:space="preserve">oficio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informalidad</w:t>
      </w:r>
      <w:r>
        <w:t xml:space="preserve">.</w:t>
      </w:r>
    </w:p>
    <w:bookmarkEnd w:id="37"/>
    <w:bookmarkEnd w:id="38"/>
    <w:bookmarkStart w:id="43" w:name="Xc3147e986a8fbf15d15ebb369746edf44dd96a2"/>
    <w:p>
      <w:pPr>
        <w:pStyle w:val="Heading1"/>
      </w:pPr>
      <w:r>
        <w:t xml:space="preserve">5. 4. Impacto en la medición de informalidad laboral</w:t>
      </w:r>
    </w:p>
    <w:bookmarkStart w:id="39" w:name="criterios-adoptados-en-la-ene-desde-2017"/>
    <w:p>
      <w:pPr>
        <w:pStyle w:val="Heading2"/>
      </w:pPr>
      <w:r>
        <w:t xml:space="preserve">5.1 4.1. Criterios adoptados en la ENE desde 2017</w:t>
      </w:r>
    </w:p>
    <w:p>
      <w:pPr>
        <w:numPr>
          <w:ilvl w:val="0"/>
          <w:numId w:val="1014"/>
        </w:numPr>
        <w:pStyle w:val="Compact"/>
      </w:pPr>
      <w:r>
        <w:t xml:space="preserve">Definición operativa y sus limitaciones.</w:t>
      </w:r>
    </w:p>
    <w:bookmarkEnd w:id="39"/>
    <w:bookmarkStart w:id="40" w:name="X3934ffbcb8c9225fc8fca84723a8532af57c658"/>
    <w:p>
      <w:pPr>
        <w:pStyle w:val="Heading2"/>
      </w:pPr>
      <w:r>
        <w:t xml:space="preserve">5.2 4.2. Nueva resolución sobre estadísticas de Economía Informal – 21° CIET 2023</w:t>
      </w:r>
    </w:p>
    <w:p>
      <w:pPr>
        <w:numPr>
          <w:ilvl w:val="0"/>
          <w:numId w:val="1015"/>
        </w:numPr>
        <w:pStyle w:val="Compact"/>
      </w:pPr>
      <w:r>
        <w:t xml:space="preserve">Cambios conceptuales y su articulación con CISO‑18.</w:t>
      </w:r>
    </w:p>
    <w:bookmarkEnd w:id="40"/>
    <w:bookmarkStart w:id="41" w:name="X04f794f0ba295307cfe067a2f7bbd129072ad1e"/>
    <w:p>
      <w:pPr>
        <w:pStyle w:val="Heading2"/>
      </w:pPr>
      <w:r>
        <w:t xml:space="preserve">5.3 4.3. Informalidad en contratistas dependientes proveniente de los TCP</w:t>
      </w:r>
    </w:p>
    <w:p>
      <w:pPr>
        <w:numPr>
          <w:ilvl w:val="0"/>
          <w:numId w:val="1016"/>
        </w:numPr>
        <w:pStyle w:val="Compact"/>
      </w:pPr>
      <w:r>
        <w:t xml:space="preserve">Procedimiento de identificación y resultados esperados.</w:t>
      </w:r>
    </w:p>
    <w:bookmarkEnd w:id="41"/>
    <w:bookmarkStart w:id="42" w:name="X6687e56745d2ec51deb477c546ac8c28d670ea4"/>
    <w:p>
      <w:pPr>
        <w:pStyle w:val="Heading2"/>
      </w:pPr>
      <w:r>
        <w:t xml:space="preserve">5.4 4.4. Implementación CISO-18 e impacto medición de informalidad laboral</w:t>
      </w:r>
    </w:p>
    <w:p>
      <w:pPr>
        <w:numPr>
          <w:ilvl w:val="0"/>
          <w:numId w:val="1017"/>
        </w:numPr>
        <w:pStyle w:val="Compact"/>
      </w:pPr>
      <w:r>
        <w:t xml:space="preserve">Escenarios de impacto (mínimo/base/máximo) y notas metodológicas.</w:t>
      </w:r>
    </w:p>
    <w:bookmarkEnd w:id="42"/>
    <w:bookmarkEnd w:id="43"/>
    <w:bookmarkStart w:id="50" w:name="X22b890cf57918377243dfb4fb9bf26985578293"/>
    <w:p>
      <w:pPr>
        <w:pStyle w:val="Heading1"/>
      </w:pPr>
      <w:r>
        <w:t xml:space="preserve">6. 5. Construcción tercer nivel jerárquico CISO-18</w:t>
      </w:r>
    </w:p>
    <w:bookmarkStart w:id="44" w:name="Xd31ff849126faa086fbc4c3b3921c66030e38e1"/>
    <w:p>
      <w:pPr>
        <w:pStyle w:val="Heading2"/>
      </w:pPr>
      <w:r>
        <w:t xml:space="preserve">6.1 5.1. Empleadores y Trabajadores por cuenta propia</w:t>
      </w:r>
    </w:p>
    <w:p>
      <w:pPr>
        <w:numPr>
          <w:ilvl w:val="0"/>
          <w:numId w:val="1018"/>
        </w:numPr>
        <w:pStyle w:val="Compact"/>
      </w:pPr>
      <w:r>
        <w:t xml:space="preserve">Criterios para sub‑clasificación y variables auxiliares.</w:t>
      </w:r>
    </w:p>
    <w:bookmarkEnd w:id="44"/>
    <w:bookmarkStart w:id="45" w:name="contratistas-dependientes"/>
    <w:p>
      <w:pPr>
        <w:pStyle w:val="Heading2"/>
      </w:pPr>
      <w:r>
        <w:t xml:space="preserve">6.2 5.2. Contratistas dependientes</w:t>
      </w:r>
    </w:p>
    <w:p>
      <w:pPr>
        <w:numPr>
          <w:ilvl w:val="0"/>
          <w:numId w:val="1019"/>
        </w:numPr>
        <w:pStyle w:val="Compact"/>
      </w:pPr>
      <w:r>
        <w:t xml:space="preserve">Subtipificación por</w:t>
      </w:r>
      <w:r>
        <w:t xml:space="preserve"> </w:t>
      </w:r>
      <w:r>
        <w:rPr>
          <w:bCs/>
          <w:b/>
        </w:rPr>
        <w:t xml:space="preserve">fuente principal de ingresos</w:t>
      </w:r>
      <w:r>
        <w:t xml:space="preserve">,</w:t>
      </w:r>
      <w:r>
        <w:t xml:space="preserve"> </w:t>
      </w:r>
      <w:r>
        <w:rPr>
          <w:bCs/>
          <w:b/>
        </w:rPr>
        <w:t xml:space="preserve">número de clientes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grado de control</w:t>
      </w:r>
      <w:r>
        <w:t xml:space="preserve">.</w:t>
      </w:r>
    </w:p>
    <w:bookmarkEnd w:id="45"/>
    <w:bookmarkStart w:id="46" w:name="Xaf86caad045e78f20ca7b52510dc879452830bc"/>
    <w:p>
      <w:pPr>
        <w:pStyle w:val="Heading2"/>
      </w:pPr>
      <w:r>
        <w:t xml:space="preserve">6.3 5.3. Asalariados privados, públicos y servicio doméstico</w:t>
      </w:r>
    </w:p>
    <w:p>
      <w:pPr>
        <w:numPr>
          <w:ilvl w:val="0"/>
          <w:numId w:val="1020"/>
        </w:numPr>
        <w:pStyle w:val="Compact"/>
      </w:pPr>
      <w:r>
        <w:t xml:space="preserve">Definiciones y criterios de separación operativa.</w:t>
      </w:r>
    </w:p>
    <w:bookmarkEnd w:id="46"/>
    <w:bookmarkStart w:id="47" w:name="X70250e24348c147007177bc7e57a9dca04a46bf"/>
    <w:p>
      <w:pPr>
        <w:pStyle w:val="Heading2"/>
      </w:pPr>
      <w:r>
        <w:t xml:space="preserve">6.4 5.4. Caracterización del tercer nivel jerárquico CISO-18</w:t>
      </w:r>
    </w:p>
    <w:p>
      <w:pPr>
        <w:numPr>
          <w:ilvl w:val="0"/>
          <w:numId w:val="1021"/>
        </w:numPr>
        <w:pStyle w:val="Compact"/>
      </w:pPr>
      <w:r>
        <w:t xml:space="preserve">Indicadores descriptivos y tabulados estándar.</w:t>
      </w:r>
    </w:p>
    <w:bookmarkEnd w:id="47"/>
    <w:bookmarkStart w:id="48" w:name="Xcdaf67e05a30d977c6bbdb8a7359042323a8d80"/>
    <w:p>
      <w:pPr>
        <w:pStyle w:val="Heading2"/>
      </w:pPr>
      <w:r>
        <w:t xml:space="preserve">6.5 5.5. Tercer nivel jerárquico: Tipo de contrato definido</w:t>
      </w:r>
    </w:p>
    <w:p>
      <w:pPr>
        <w:numPr>
          <w:ilvl w:val="0"/>
          <w:numId w:val="1022"/>
        </w:numPr>
        <w:pStyle w:val="Compact"/>
      </w:pPr>
      <w:r>
        <w:t xml:space="preserve">Permanente, plazo fijo, corto plazo/ocasional, aprendizaje/práctica remunerada.</w:t>
      </w:r>
    </w:p>
    <w:bookmarkEnd w:id="48"/>
    <w:bookmarkStart w:id="49" w:name="X80210a1bf2760f45750986455896ae6e99433a3"/>
    <w:p>
      <w:pPr>
        <w:pStyle w:val="Heading2"/>
      </w:pPr>
      <w:r>
        <w:t xml:space="preserve">6.6 5.6. Recomendaciones sobre el análisis del tercer nivel jerárquico de la CISO-18</w:t>
      </w:r>
    </w:p>
    <w:p>
      <w:pPr>
        <w:numPr>
          <w:ilvl w:val="0"/>
          <w:numId w:val="1023"/>
        </w:numPr>
        <w:pStyle w:val="Compact"/>
      </w:pPr>
      <w:r>
        <w:t xml:space="preserve">Buenas prácticas, advertencias y notas de comparabilidad.</w:t>
      </w:r>
    </w:p>
    <w:bookmarkEnd w:id="49"/>
    <w:bookmarkEnd w:id="50"/>
    <w:bookmarkStart w:id="66" w:name="plan-de-difusión"/>
    <w:p>
      <w:pPr>
        <w:pStyle w:val="Heading1"/>
      </w:pPr>
      <w:r>
        <w:t xml:space="preserve">7. 6. Plan de difusión</w:t>
      </w:r>
    </w:p>
    <w:bookmarkStart w:id="51" w:name="X6599a9e1d98928f896eeab14c29bcd701ddc804"/>
    <w:p>
      <w:pPr>
        <w:pStyle w:val="Heading2"/>
      </w:pPr>
      <w:r>
        <w:t xml:space="preserve">7.1 6.1. Eje 1: Difusión público-experto (expertos/instituciones, comité técnico, medios de comunicación y ciudadana)</w:t>
      </w:r>
    </w:p>
    <w:p>
      <w:pPr>
        <w:numPr>
          <w:ilvl w:val="0"/>
          <w:numId w:val="1024"/>
        </w:numPr>
        <w:pStyle w:val="Compact"/>
      </w:pPr>
      <w:r>
        <w:t xml:space="preserve">Estrategia y productos prioritarios.</w:t>
      </w:r>
    </w:p>
    <w:bookmarkEnd w:id="51"/>
    <w:bookmarkStart w:id="52" w:name="Xc0aaa679844e43a376f503b48561b7e5780c78d"/>
    <w:p>
      <w:pPr>
        <w:pStyle w:val="Heading2"/>
      </w:pPr>
      <w:r>
        <w:t xml:space="preserve">7.2 6.2. Eje 2: Difusión de insumos (boletín, bases de datos, tabulados)</w:t>
      </w:r>
    </w:p>
    <w:p>
      <w:pPr>
        <w:numPr>
          <w:ilvl w:val="0"/>
          <w:numId w:val="1025"/>
        </w:numPr>
        <w:pStyle w:val="Compact"/>
      </w:pPr>
      <w:r>
        <w:t xml:space="preserve">Calendario y especificaciones de publicación.</w:t>
      </w:r>
    </w:p>
    <w:bookmarkEnd w:id="52"/>
    <w:bookmarkStart w:id="53" w:name="X3d7a28539cedd7eaed73984f762338144f357aa"/>
    <w:p>
      <w:pPr>
        <w:pStyle w:val="Heading2"/>
      </w:pPr>
      <w:r>
        <w:t xml:space="preserve">7.3 6.3. Eje 3: Difusión en plataformas (Banco de datos ENE y SIMEL)</w:t>
      </w:r>
    </w:p>
    <w:p>
      <w:pPr>
        <w:numPr>
          <w:ilvl w:val="0"/>
          <w:numId w:val="1026"/>
        </w:numPr>
        <w:pStyle w:val="Compact"/>
      </w:pPr>
      <w:r>
        <w:t xml:space="preserve">Variables nuevas, metadatos y documentación.</w:t>
      </w:r>
    </w:p>
    <w:bookmarkEnd w:id="53"/>
    <w:bookmarkStart w:id="54" w:name="Xed428e0f879a3836aec16528f8e24967c4d2b60"/>
    <w:p>
      <w:pPr>
        <w:pStyle w:val="Heading2"/>
      </w:pPr>
      <w:r>
        <w:t xml:space="preserve">7.4 6.4. Eje 4: Difusión información complementaria (infografías, documentos de trabajo y separata técnica)</w:t>
      </w:r>
    </w:p>
    <w:p>
      <w:pPr>
        <w:numPr>
          <w:ilvl w:val="0"/>
          <w:numId w:val="1027"/>
        </w:numPr>
        <w:pStyle w:val="Compact"/>
      </w:pPr>
      <w:r>
        <w:t xml:space="preserve">Materiales de apoyo y mensajes clave.</w:t>
      </w:r>
    </w:p>
    <w:p>
      <w:r>
        <w:pict>
          <v:rect style="width:0;height:1.5pt" o:hralign="center" o:hrstd="t" o:hr="t"/>
        </w:pict>
      </w:r>
    </w:p>
    <w:bookmarkEnd w:id="54"/>
    <w:bookmarkStart w:id="65" w:name="tablas-de-referencia"/>
    <w:p>
      <w:pPr>
        <w:pStyle w:val="Heading2"/>
      </w:pPr>
      <w:r>
        <w:t xml:space="preserve">7.5 Tablas de referencia</w:t>
      </w:r>
    </w:p>
    <w:bookmarkStart w:id="55" w:name="tbl-cise93"/>
    <w:p>
      <w:pPr>
        <w:pStyle w:val="FirstParagraph"/>
      </w:pPr>
      <w:r>
        <w:rPr>
          <w:bCs/>
          <w:b/>
        </w:rPr>
        <w:t xml:space="preserve">Tabla 1. CISE‑93 — Grupos principales</w:t>
      </w:r>
    </w:p>
    <w:p>
      <w:pPr>
        <w:pStyle w:val="BodyText"/>
      </w:pPr>
      <w:r>
        <w:rPr>
          <w:bCs/>
          <w:b/>
        </w:rPr>
        <w:t xml:space="preserve">Empleo remunerado</w:t>
      </w:r>
      <w:r>
        <w:br/>
      </w:r>
      <w:r>
        <w:t xml:space="preserve">1. Empleados</w:t>
      </w:r>
    </w:p>
    <w:p>
      <w:pPr>
        <w:pStyle w:val="BodyText"/>
      </w:pPr>
      <w:r>
        <w:rPr>
          <w:bCs/>
          <w:b/>
        </w:rPr>
        <w:t xml:space="preserve">Empleo independiente</w:t>
      </w:r>
      <w:r>
        <w:br/>
      </w:r>
      <w:r>
        <w:t xml:space="preserve">2. Empleadores</w:t>
      </w:r>
      <w:r>
        <w:br/>
      </w:r>
      <w:r>
        <w:t xml:space="preserve">3. Trabajadores por cuenta propia</w:t>
      </w:r>
      <w:r>
        <w:br/>
      </w:r>
      <w:r>
        <w:t xml:space="preserve">4. Trabajadores familiares auxiliares</w:t>
      </w:r>
      <w:r>
        <w:br/>
      </w:r>
      <w:r>
        <w:t xml:space="preserve">5. Miembros de cooperativas de productores</w:t>
      </w:r>
      <w:r>
        <w:br/>
      </w:r>
      <w:r>
        <w:t xml:space="preserve">6. No clasificados por situación en el empleo</w:t>
      </w:r>
    </w:p>
    <w:bookmarkEnd w:id="55"/>
    <w:bookmarkStart w:id="56" w:name="tbl-ciso18a"/>
    <w:p>
      <w:pPr>
        <w:pStyle w:val="BodyText"/>
      </w:pPr>
      <w:r>
        <w:rPr>
          <w:bCs/>
          <w:b/>
        </w:rPr>
        <w:t xml:space="preserve">Tabla 2. Clasificación CISO‑18‑A (según tipo de autoridad)</w:t>
      </w:r>
    </w:p>
    <w:p>
      <w:pPr>
        <w:pStyle w:val="BodyText"/>
      </w:pPr>
      <w:r>
        <w:rPr>
          <w:bCs/>
          <w:b/>
        </w:rPr>
        <w:t xml:space="preserve">Trabajadores independientes</w:t>
      </w:r>
      <w:r>
        <w:br/>
      </w:r>
      <w:r>
        <w:t xml:space="preserve">A1. Empleadores</w:t>
      </w:r>
      <w:r>
        <w:br/>
      </w:r>
      <w:r>
        <w:t xml:space="preserve">- 11 — Empleadores en sociedades</w:t>
      </w:r>
      <w:r>
        <w:br/>
      </w:r>
      <w:r>
        <w:t xml:space="preserve">- 12 — Empleadores en empresas del sector de los hogares</w:t>
      </w:r>
      <w:r>
        <w:br/>
      </w:r>
      <w:r>
        <w:t xml:space="preserve">A2. Independientes sin empleados</w:t>
      </w:r>
      <w:r>
        <w:br/>
      </w:r>
      <w:r>
        <w:t xml:space="preserve">- 21 — Gerentes‑propietarios en sociedades sin empleados</w:t>
      </w:r>
      <w:r>
        <w:br/>
      </w:r>
      <w:r>
        <w:t xml:space="preserve">- 22 — Cuenta propia en empresas del sector de los hogares sin empleados</w:t>
      </w:r>
    </w:p>
    <w:p>
      <w:pPr>
        <w:pStyle w:val="BodyText"/>
      </w:pPr>
      <w:r>
        <w:rPr>
          <w:bCs/>
          <w:b/>
        </w:rPr>
        <w:t xml:space="preserve">Trabajadores dependientes</w:t>
      </w:r>
      <w:r>
        <w:br/>
      </w:r>
      <w:r>
        <w:t xml:space="preserve">B1. Contratistas dependientes</w:t>
      </w:r>
      <w:r>
        <w:br/>
      </w:r>
      <w:r>
        <w:t xml:space="preserve">- 30 — Contratistas dependientes</w:t>
      </w:r>
      <w:r>
        <w:br/>
      </w:r>
      <w:r>
        <w:t xml:space="preserve">B2. Empleados</w:t>
      </w:r>
      <w:r>
        <w:br/>
      </w:r>
      <w:r>
        <w:t xml:space="preserve">- 41 — Permanentes</w:t>
      </w:r>
      <w:r>
        <w:br/>
      </w:r>
      <w:r>
        <w:t xml:space="preserve">- 42 — Por tiempo determinado</w:t>
      </w:r>
      <w:r>
        <w:br/>
      </w:r>
      <w:r>
        <w:t xml:space="preserve">- 43 — Corto plazo y ocasionales</w:t>
      </w:r>
      <w:r>
        <w:br/>
      </w:r>
      <w:r>
        <w:t xml:space="preserve">- 44 — Aprendices, pasantes y personas en formación remunerados</w:t>
      </w:r>
    </w:p>
    <w:p>
      <w:pPr>
        <w:pStyle w:val="BodyText"/>
      </w:pPr>
      <w:r>
        <w:rPr>
          <w:bCs/>
          <w:b/>
        </w:rPr>
        <w:t xml:space="preserve">Trabajo familiar auxiliar en actividades de mercado</w:t>
      </w:r>
      <w:r>
        <w:br/>
      </w:r>
      <w:r>
        <w:t xml:space="preserve">- 51 — Trabajadores familiares auxiliares en actividades de mercado</w:t>
      </w:r>
    </w:p>
    <w:bookmarkEnd w:id="56"/>
    <w:bookmarkStart w:id="64" w:name="refs"/>
    <w:bookmarkStart w:id="58" w:name="ref-fao2024foodinsecurity"/>
    <w:p>
      <w:pPr>
        <w:pStyle w:val="Bibliography"/>
      </w:pPr>
      <w:r>
        <w:t xml:space="preserve">FAO. (2024).</w:t>
      </w:r>
      <w:r>
        <w:t xml:space="preserve"> </w:t>
      </w:r>
      <w:r>
        <w:rPr>
          <w:iCs/>
          <w:i/>
        </w:rPr>
        <w:t xml:space="preserve">Estimation of the prevalence of moderate and severe food insecurity in Chilean municipalities using small area estimation methods</w:t>
      </w:r>
      <w:r>
        <w:t xml:space="preserve">. Food; Agriculture Organization of the United Nations.</w:t>
      </w:r>
      <w:r>
        <w:t xml:space="preserve"> </w:t>
      </w:r>
      <w:hyperlink r:id="rId57">
        <w:r>
          <w:rPr>
            <w:rStyle w:val="Hyperlink"/>
          </w:rPr>
          <w:t xml:space="preserve">https://doi.org/10.4060/cd1350en</w:t>
        </w:r>
      </w:hyperlink>
    </w:p>
    <w:bookmarkEnd w:id="58"/>
    <w:bookmarkStart w:id="59" w:name="ref-gelman2013bayesian"/>
    <w:p>
      <w:pPr>
        <w:pStyle w:val="Bibliography"/>
      </w:pPr>
      <w:r>
        <w:t xml:space="preserve">Gelman, A., Carlin, J. B., Stern, H. S., &amp; Dunson, D. B. (2013).</w:t>
      </w:r>
      <w:r>
        <w:t xml:space="preserve"> </w:t>
      </w:r>
      <w:r>
        <w:rPr>
          <w:iCs/>
          <w:i/>
        </w:rPr>
        <w:t xml:space="preserve">Bayesian Data Analysis</w:t>
      </w:r>
      <w:r>
        <w:t xml:space="preserve">. CRC Press.</w:t>
      </w:r>
    </w:p>
    <w:bookmarkEnd w:id="59"/>
    <w:bookmarkStart w:id="60" w:name="ref-pereira2011smallareas"/>
    <w:p>
      <w:pPr>
        <w:pStyle w:val="Bibliography"/>
      </w:pPr>
      <w:r>
        <w:t xml:space="preserve">Pereira, L. N., Mendes, J. M., &amp; Coelho, P. S. (2011). Estimation of unemployment rates in small areas of Portugal: A best linear unbiased prediction approach versus a hierarchical Bayes approach.</w:t>
      </w:r>
      <w:r>
        <w:t xml:space="preserve"> </w:t>
      </w:r>
      <w:r>
        <w:rPr>
          <w:iCs/>
          <w:i/>
        </w:rPr>
        <w:t xml:space="preserve">Proceedings of the 17th European Young Statisticians Meeting</w:t>
      </w:r>
      <w:r>
        <w:t xml:space="preserve">.</w:t>
      </w:r>
    </w:p>
    <w:bookmarkEnd w:id="60"/>
    <w:bookmarkStart w:id="61" w:name="ref-rao2015small"/>
    <w:p>
      <w:pPr>
        <w:pStyle w:val="Bibliography"/>
      </w:pPr>
      <w:r>
        <w:t xml:space="preserve">Rao, J. N. K., &amp; Molina, I. (2015).</w:t>
      </w:r>
      <w:r>
        <w:t xml:space="preserve"> </w:t>
      </w:r>
      <w:r>
        <w:rPr>
          <w:iCs/>
          <w:i/>
        </w:rPr>
        <w:t xml:space="preserve">Small Area Estimation</w:t>
      </w:r>
      <w:r>
        <w:t xml:space="preserve">. Wiley.</w:t>
      </w:r>
    </w:p>
    <w:bookmarkEnd w:id="61"/>
    <w:bookmarkStart w:id="63" w:name="ref-sparks2014bayesian"/>
    <w:p>
      <w:pPr>
        <w:pStyle w:val="Bibliography"/>
      </w:pPr>
      <w:r>
        <w:t xml:space="preserve">Sparks, C., &amp; Campbell, J. (2014). An Application of Bayesian Methods to Small Area Poverty Rate Estimates.</w:t>
      </w:r>
      <w:r>
        <w:t xml:space="preserve"> </w:t>
      </w:r>
      <w:r>
        <w:rPr>
          <w:iCs/>
          <w:i/>
        </w:rPr>
        <w:t xml:space="preserve">Population Research and Policy Review</w:t>
      </w:r>
      <w:r>
        <w:t xml:space="preserve">,</w:t>
      </w:r>
      <w:r>
        <w:t xml:space="preserve"> </w:t>
      </w:r>
      <w:r>
        <w:rPr>
          <w:iCs/>
          <w:i/>
        </w:rPr>
        <w:t xml:space="preserve">33</w:t>
      </w:r>
      <w:r>
        <w:t xml:space="preserve">, 455-477.</w:t>
      </w:r>
      <w:r>
        <w:t xml:space="preserve"> </w:t>
      </w:r>
      <w:hyperlink r:id="rId62">
        <w:r>
          <w:rPr>
            <w:rStyle w:val="Hyperlink"/>
          </w:rPr>
          <w:t xml:space="preserve">https://doi.org/10.1007/s11113-013-9303-8</w:t>
        </w:r>
      </w:hyperlink>
    </w:p>
    <w:bookmarkEnd w:id="63"/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Los registros administrativos fueron validados por el INE en enero de 2026.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62" Target="https://doi.org/10.1007/s11113-013-9303-8" TargetMode="External" /><Relationship Type="http://schemas.openxmlformats.org/officeDocument/2006/relationships/hyperlink" Id="rId57" Target="https://doi.org/10.4060/cd1350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doi.org/10.1007/s11113-013-9303-8" TargetMode="External" /><Relationship Type="http://schemas.openxmlformats.org/officeDocument/2006/relationships/hyperlink" Id="rId57" Target="https://doi.org/10.4060/cd1350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Implementación de CISO-18 y su impacto estadístico</dc:title>
  <dc:creator>Alvaro Marcelo Krause Salazar</dc:creator>
  <dc:language>es</dc:language>
  <cp:keywords/>
  <dcterms:created xsi:type="dcterms:W3CDTF">2026-01-26T22:59:37Z</dcterms:created>
  <dcterms:modified xsi:type="dcterms:W3CDTF">2026-01-26T22:59:37Z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lean">
    <vt:lpwstr>True</vt:lpwstr>
  </property>
  <property fmtid="{D5CDD505-2E9C-101B-9397-08002B2CF9AE}" pid="7" name="csl">
    <vt:lpwstr>apa.csl</vt:lpwstr>
  </property>
  <property fmtid="{D5CDD505-2E9C-101B-9397-08002B2CF9AE}" pid="8" name="date">
    <vt:lpwstr>2026-01-26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nocite">
    <vt:lpwstr>@*</vt:lpwstr>
  </property>
  <property fmtid="{D5CDD505-2E9C-101B-9397-08002B2CF9AE}" pid="14" name="subtitle">
    <vt:lpwstr>Plantilla Quarto para Word (estructura base)</vt:lpwstr>
  </property>
  <property fmtid="{D5CDD505-2E9C-101B-9397-08002B2CF9AE}" pid="15" name="toc-title">
    <vt:lpwstr>Tabla de contenidos</vt:lpwstr>
  </property>
</Properties>
</file>