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Estimación</w:t>
      </w:r>
      <w:r>
        <w:t xml:space="preserve"> </w:t>
      </w:r>
      <w:r>
        <w:t xml:space="preserve">de</w:t>
      </w:r>
      <w:r>
        <w:t xml:space="preserve"> </w:t>
      </w:r>
      <w:r>
        <w:t xml:space="preserve">la</w:t>
      </w:r>
      <w:r>
        <w:t xml:space="preserve"> </w:t>
      </w:r>
      <w:r>
        <w:t xml:space="preserve">tasa</w:t>
      </w:r>
      <w:r>
        <w:t xml:space="preserve"> </w:t>
      </w:r>
      <w:r>
        <w:t xml:space="preserve">de</w:t>
      </w:r>
      <w:r>
        <w:t xml:space="preserve"> </w:t>
      </w:r>
      <w:r>
        <w:t xml:space="preserve">desocupación</w:t>
      </w:r>
      <w:r>
        <w:t xml:space="preserve"> </w:t>
      </w:r>
      <w:r>
        <w:t xml:space="preserve">comunal</w:t>
      </w:r>
      <w:r>
        <w:t xml:space="preserve"> </w:t>
      </w:r>
      <w:r>
        <w:t xml:space="preserve">mediante</w:t>
      </w:r>
      <w:r>
        <w:t xml:space="preserve"> </w:t>
      </w:r>
      <w:r>
        <w:t xml:space="preserve">Small</w:t>
      </w:r>
      <w:r>
        <w:t xml:space="preserve"> </w:t>
      </w:r>
      <w:r>
        <w:t xml:space="preserve">Area</w:t>
      </w:r>
      <w:r>
        <w:t xml:space="preserve"> </w:t>
      </w:r>
      <w:r>
        <w:t xml:space="preserve">Estimation</w:t>
      </w:r>
      <w:r>
        <w:t xml:space="preserve"> </w:t>
      </w:r>
      <w:r>
        <w:t xml:space="preserve">Bayesiano</w:t>
      </w:r>
    </w:p>
    <w:p>
      <w:pPr>
        <w:pStyle w:val="Subtitle"/>
      </w:pPr>
      <w:r>
        <w:t xml:space="preserve">Modelo</w:t>
      </w:r>
      <w:r>
        <w:t xml:space="preserve"> </w:t>
      </w:r>
      <w:r>
        <w:t xml:space="preserve">multinomial</w:t>
      </w:r>
      <w:r>
        <w:t xml:space="preserve"> </w:t>
      </w:r>
      <w:r>
        <w:t xml:space="preserve">logit</w:t>
      </w:r>
    </w:p>
    <w:p>
      <w:pPr>
        <w:pStyle w:val="Author"/>
      </w:pPr>
      <w:r>
        <w:t xml:space="preserve">Álvaro</w:t>
      </w:r>
      <w:r>
        <w:t xml:space="preserve"> </w:t>
      </w:r>
      <w:r>
        <w:t xml:space="preserve">Krause</w:t>
      </w:r>
    </w:p>
    <w:p>
      <w:pPr>
        <w:pStyle w:val="Date"/>
      </w:pPr>
      <w:r>
        <w:t xml:space="preserve">2026-01-26</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"1-3" \h \z \u</w:instrText>
            <w:fldChar w:fldCharType="separate"/>
            <w:fldChar w:fldCharType="end"/>
          </w:r>
        </w:p>
      </w:sdtContent>
    </w:sdt>
    <w:bookmarkStart w:id="20" w:name="resumen-ejecutivo"/>
    <w:p>
      <w:pPr>
        <w:pStyle w:val="Heading1"/>
      </w:pPr>
      <w:r>
        <w:t xml:space="preserve">Resumen ejecutivo</w:t>
      </w:r>
    </w:p>
    <w:p>
      <w:pPr>
        <w:pStyle w:val="FirstParagraph"/>
      </w:pPr>
      <w:r>
        <w:t xml:space="preserve">Este informe presenta la metodología y los resultados de la aplicación de Small Area Estimation (SAE) para la estimación de la tasa de desocupación a nivel comunal, utilizando un modelo bayesiano multinomial con enlace logit. El enfoque permite mejorar la precisión de las estimaciones en dominios con tamaños muestrales reducidos, manteniendo coherencia con las definiciones oficiales del mercado laboral.</w:t>
      </w:r>
    </w:p>
    <w:bookmarkEnd w:id="20"/>
    <w:bookmarkStart w:id="25" w:name="introducción"/>
    <w:p>
      <w:pPr>
        <w:pStyle w:val="Heading1"/>
      </w:pPr>
      <w:r>
        <w:t xml:space="preserve">1. Introducción</w:t>
      </w:r>
    </w:p>
    <w:bookmarkStart w:id="21" w:name="contexto-y-motivación"/>
    <w:p>
      <w:pPr>
        <w:pStyle w:val="Heading2"/>
      </w:pPr>
      <w:r>
        <w:t xml:space="preserve">1.1 Contexto y motivación</w:t>
      </w:r>
    </w:p>
    <w:p>
      <w:pPr>
        <w:pStyle w:val="FirstParagraph"/>
      </w:pPr>
      <w:r>
        <w:t xml:space="preserve">La estimación directa de indicadores laborales a nivel comunal presenta limitaciones importantes debido a la alta variabilidad asociada a tamaños muestrales pequeños. La metodología SAE permite superar estas limitaciones mediante el uso de modelos estadísticos que integran información auxiliar.</w:t>
      </w:r>
    </w:p>
    <w:bookmarkEnd w:id="21"/>
    <w:bookmarkStart w:id="24" w:name="objetivos"/>
    <w:p>
      <w:pPr>
        <w:pStyle w:val="Heading2"/>
      </w:pPr>
      <w:r>
        <w:t xml:space="preserve">1.2 Objetivos</w:t>
      </w:r>
    </w:p>
    <w:bookmarkStart w:id="22" w:name="objetivo-general"/>
    <w:p>
      <w:pPr>
        <w:pStyle w:val="Heading3"/>
      </w:pPr>
      <w:r>
        <w:t xml:space="preserve">1.2.1 Objetivo general</w:t>
      </w:r>
    </w:p>
    <w:p>
      <w:pPr>
        <w:pStyle w:val="FirstParagraph"/>
      </w:pPr>
      <w:r>
        <w:t xml:space="preserve">Estimar la tasa de desocupación comunal mediante un modelo bayesiano de Small Area Estimation.</w:t>
      </w:r>
    </w:p>
    <w:bookmarkEnd w:id="22"/>
    <w:bookmarkStart w:id="23" w:name="objetivos-específicos"/>
    <w:p>
      <w:pPr>
        <w:pStyle w:val="Heading3"/>
      </w:pPr>
      <w:r>
        <w:t xml:space="preserve">1.2.2 Objetivos específicos</w:t>
      </w:r>
    </w:p>
    <w:p>
      <w:pPr>
        <w:numPr>
          <w:ilvl w:val="0"/>
          <w:numId w:val="1001"/>
        </w:numPr>
        <w:pStyle w:val="Compact"/>
      </w:pPr>
      <w:r>
        <w:t xml:space="preserve">Incorporar información auxiliar a nivel comunal.</w:t>
      </w:r>
    </w:p>
    <w:p>
      <w:pPr>
        <w:numPr>
          <w:ilvl w:val="0"/>
          <w:numId w:val="1001"/>
        </w:numPr>
        <w:pStyle w:val="Compact"/>
      </w:pPr>
      <w:r>
        <w:t xml:space="preserve">Reducir la varianza de las estimaciones respecto de los estimadores directos.</w:t>
      </w:r>
    </w:p>
    <w:p>
      <w:pPr>
        <w:numPr>
          <w:ilvl w:val="0"/>
          <w:numId w:val="1001"/>
        </w:numPr>
        <w:pStyle w:val="Compact"/>
      </w:pPr>
      <w:r>
        <w:t xml:space="preserve">Garantizar coherencia interna entre categorías laborales.</w:t>
      </w:r>
    </w:p>
    <w:bookmarkEnd w:id="23"/>
    <w:bookmarkEnd w:id="24"/>
    <w:bookmarkEnd w:id="25"/>
    <w:bookmarkStart w:id="28" w:name="marco-conceptual"/>
    <w:p>
      <w:pPr>
        <w:pStyle w:val="Heading1"/>
      </w:pPr>
      <w:r>
        <w:t xml:space="preserve">2. Marco conceptual</w:t>
      </w:r>
    </w:p>
    <w:bookmarkStart w:id="26" w:name="indicadores-del-mercado-laboral"/>
    <w:p>
      <w:pPr>
        <w:pStyle w:val="Heading2"/>
      </w:pPr>
      <w:r>
        <w:t xml:space="preserve">2.1 Indicadores del mercado laboral</w:t>
      </w:r>
    </w:p>
    <w:p>
      <w:pPr>
        <w:pStyle w:val="FirstParagraph"/>
      </w:pPr>
      <w:r>
        <w:t xml:space="preserve">Se consideran las categorías de ocupados, desocupados e inactivos, de acuerdo con las definiciones oficiales vigentes. Para cada comuna</w:t>
      </w:r>
      <w:r>
        <w:t xml:space="preserve"> </w:t>
      </w:r>
      <m:oMath>
        <m:r>
          <m:t>d</m:t>
        </m:r>
      </m:oMath>
      <w:r>
        <w:t xml:space="preserve">, se define el vector de proporciones poblacionales:</w:t>
      </w:r>
    </w:p>
    <w:p>
      <w:pPr>
        <w:pStyle w:val="BodyText"/>
      </w:pPr>
      <m:oMathPara>
        <m:oMathParaPr>
          <m:jc m:val="center"/>
        </m:oMathParaPr>
        <m:oMath>
          <m:sSub>
            <m:e>
              <m:r>
                <m:rPr>
                  <m:sty m:val="b"/>
                </m:rPr>
                <m:t>θ</m:t>
              </m:r>
            </m:e>
            <m:sub>
              <m:r>
                <m:t>d</m:t>
              </m:r>
            </m:sub>
          </m:sSub>
          <m:r>
            <m:rPr>
              <m:sty m:val="p"/>
            </m:rPr>
            <m:t>=</m:t>
          </m:r>
          <m:d>
            <m:dPr>
              <m:begChr m:val="("/>
              <m:endChr m:val=")"/>
              <m:sepChr m:val=""/>
              <m:grow/>
            </m:dPr>
            <m:e>
              <m:sSub>
                <m:e>
                  <m:r>
                    <m:t>θ</m:t>
                  </m:r>
                </m:e>
                <m:sub>
                  <m:r>
                    <m:t>d</m:t>
                  </m:r>
                  <m:r>
                    <m:t>1</m:t>
                  </m:r>
                </m:sub>
              </m:sSub>
              <m:r>
                <m:rPr>
                  <m:sty m:val="p"/>
                </m:rPr>
                <m:t>,</m:t>
              </m:r>
              <m:sSub>
                <m:e>
                  <m:r>
                    <m:t>θ</m:t>
                  </m:r>
                </m:e>
                <m:sub>
                  <m:r>
                    <m:t>d</m:t>
                  </m:r>
                  <m:r>
                    <m:t>2</m:t>
                  </m:r>
                </m:sub>
              </m:sSub>
              <m:r>
                <m:rPr>
                  <m:sty m:val="p"/>
                </m:rPr>
                <m:t>,</m:t>
              </m:r>
              <m:sSub>
                <m:e>
                  <m:r>
                    <m:t>θ</m:t>
                  </m:r>
                </m:e>
                <m:sub>
                  <m:r>
                    <m:t>d</m:t>
                  </m:r>
                  <m:r>
                    <m:t>3</m:t>
                  </m:r>
                </m:sub>
              </m:sSub>
            </m:e>
          </m:d>
        </m:oMath>
      </m:oMathPara>
    </w:p>
    <w:p>
      <w:pPr>
        <w:pStyle w:val="FirstParagraph"/>
      </w:pPr>
      <w:r>
        <w:t xml:space="preserve">donde los subíndices corresponden a ocupados, desocupados e inactivos, respectivamente, y se cumple:</w:t>
      </w:r>
    </w:p>
    <w:p>
      <w:pPr>
        <w:pStyle w:val="BodyText"/>
      </w:pPr>
      <m:oMathPara>
        <m:oMathParaPr>
          <m:jc m:val="center"/>
        </m:oMathParaPr>
        <m:oMath>
          <m:nary>
            <m:naryPr>
              <m:chr m:val="∑"/>
              <m:limLoc m:val="undOvr"/>
              <m:subHide m:val="0"/>
              <m:supHide m:val="0"/>
            </m:naryPr>
            <m:sub>
              <m:r>
                <m:t>k</m:t>
              </m:r>
              <m:r>
                <m:rPr>
                  <m:sty m:val="p"/>
                </m:rPr>
                <m:t>=</m:t>
              </m:r>
              <m:r>
                <m:t>1</m:t>
              </m:r>
            </m:sub>
            <m:sup>
              <m:r>
                <m:t>3</m:t>
              </m:r>
            </m:sup>
            <m:e>
              <m:sSub>
                <m:e>
                  <m:r>
                    <m:t>θ</m:t>
                  </m:r>
                </m:e>
                <m:sub>
                  <m:r>
                    <m:t>d</m:t>
                  </m:r>
                  <m:r>
                    <m:t>k</m:t>
                  </m:r>
                </m:sub>
              </m:sSub>
            </m:e>
          </m:nary>
          <m:r>
            <m:rPr>
              <m:sty m:val="p"/>
            </m:rPr>
            <m:t>=</m:t>
          </m:r>
          <m:r>
            <m:t>1</m:t>
          </m:r>
          <m:r>
            <m:rPr>
              <m:sty m:val="p"/>
            </m:rPr>
            <m:t>.</m:t>
          </m:r>
        </m:oMath>
      </m:oMathPara>
    </w:p>
    <w:bookmarkEnd w:id="26"/>
    <w:bookmarkStart w:id="27" w:name="small-area-estimation"/>
    <w:p>
      <w:pPr>
        <w:pStyle w:val="Heading2"/>
      </w:pPr>
      <w:r>
        <w:t xml:space="preserve">2.2 Small Area Estimation</w:t>
      </w:r>
    </w:p>
    <w:p>
      <w:pPr>
        <w:pStyle w:val="FirstParagraph"/>
      </w:pPr>
      <w:r>
        <w:t xml:space="preserve">El enfoque SAE se basa en la especificación de un modelo probabilístico que vincula los parámetros de interés con información auxiliar disponible para todas las áreas, permitiendo estabilizar las estimaciones en dominios pequeños.</w:t>
      </w:r>
    </w:p>
    <w:bookmarkEnd w:id="27"/>
    <w:bookmarkEnd w:id="28"/>
    <w:bookmarkStart w:id="31" w:name="fuentes-de-información"/>
    <w:p>
      <w:pPr>
        <w:pStyle w:val="Heading1"/>
      </w:pPr>
      <w:r>
        <w:t xml:space="preserve">3. Fuentes de información</w:t>
      </w:r>
    </w:p>
    <w:bookmarkStart w:id="29" w:name="encuesta-base"/>
    <w:p>
      <w:pPr>
        <w:pStyle w:val="Heading2"/>
      </w:pPr>
      <w:r>
        <w:t xml:space="preserve">3.1 Encuesta base</w:t>
      </w:r>
    </w:p>
    <w:p>
      <w:pPr>
        <w:pStyle w:val="FirstParagraph"/>
      </w:pPr>
      <w:r>
        <w:t xml:space="preserve">La estimación se basa en una encuesta de hogares con diseño muestral complejo. Para cada comuna</w:t>
      </w:r>
      <w:r>
        <w:t xml:space="preserve"> </w:t>
      </w:r>
      <m:oMath>
        <m:r>
          <m:t>d</m:t>
        </m:r>
      </m:oMath>
      <w:r>
        <w:t xml:space="preserve"> </w:t>
      </w:r>
      <w:r>
        <w:t xml:space="preserve">se observa un vector de conteos:</w:t>
      </w:r>
    </w:p>
    <w:p>
      <w:pPr>
        <w:pStyle w:val="BodyText"/>
      </w:pPr>
      <m:oMathPara>
        <m:oMathParaPr>
          <m:jc m:val="center"/>
        </m:oMathParaPr>
        <m:oMath>
          <m:sSub>
            <m:e>
              <m:r>
                <m:rPr>
                  <m:sty m:val="b"/>
                </m:rPr>
                <m:t>y</m:t>
              </m:r>
            </m:e>
            <m:sub>
              <m:r>
                <m:t>d</m:t>
              </m:r>
            </m:sub>
          </m:sSub>
          <m:r>
            <m:rPr>
              <m:sty m:val="p"/>
            </m:rPr>
            <m:t>=</m:t>
          </m:r>
          <m:d>
            <m:dPr>
              <m:begChr m:val="("/>
              <m:endChr m:val=")"/>
              <m:sepChr m:val=""/>
              <m:grow/>
            </m:dPr>
            <m:e>
              <m:sSub>
                <m:e>
                  <m:r>
                    <m:t>y</m:t>
                  </m:r>
                </m:e>
                <m:sub>
                  <m:r>
                    <m:t>d</m:t>
                  </m:r>
                  <m:r>
                    <m:t>1</m:t>
                  </m:r>
                </m:sub>
              </m:sSub>
              <m:r>
                <m:rPr>
                  <m:sty m:val="p"/>
                </m:rPr>
                <m:t>,</m:t>
              </m:r>
              <m:sSub>
                <m:e>
                  <m:r>
                    <m:t>y</m:t>
                  </m:r>
                </m:e>
                <m:sub>
                  <m:r>
                    <m:t>d</m:t>
                  </m:r>
                  <m:r>
                    <m:t>2</m:t>
                  </m:r>
                </m:sub>
              </m:sSub>
              <m:r>
                <m:rPr>
                  <m:sty m:val="p"/>
                </m:rPr>
                <m:t>,</m:t>
              </m:r>
              <m:sSub>
                <m:e>
                  <m:r>
                    <m:t>y</m:t>
                  </m:r>
                </m:e>
                <m:sub>
                  <m:r>
                    <m:t>d</m:t>
                  </m:r>
                  <m:r>
                    <m:t>3</m:t>
                  </m:r>
                </m:sub>
              </m:sSub>
            </m:e>
          </m:d>
        </m:oMath>
      </m:oMathPara>
    </w:p>
    <w:p>
      <w:pPr>
        <w:pStyle w:val="FirstParagraph"/>
      </w:pPr>
      <w:r>
        <w:t xml:space="preserve">con tamaño muestral total</w:t>
      </w:r>
      <w:r>
        <w:t xml:space="preserve"> </w:t>
      </w:r>
      <m:oMath>
        <m:sSub>
          <m:e>
            <m:r>
              <m:t>n</m:t>
            </m:r>
          </m:e>
          <m:sub>
            <m:r>
              <m:t>d</m:t>
            </m:r>
          </m:sub>
        </m:sSub>
        <m:r>
          <m:rPr>
            <m:sty m:val="p"/>
          </m:rPr>
          <m:t>=</m:t>
        </m:r>
        <m:nary>
          <m:naryPr>
            <m:chr m:val="∑"/>
            <m:limLoc m:val="undOvr"/>
            <m:subHide m:val="0"/>
            <m:supHide m:val="0"/>
          </m:naryPr>
          <m:sub>
            <m:r>
              <m:t>k</m:t>
            </m:r>
            <m:r>
              <m:rPr>
                <m:sty m:val="p"/>
              </m:rPr>
              <m:t>=</m:t>
            </m:r>
            <m:r>
              <m:t>1</m:t>
            </m:r>
          </m:sub>
          <m:sup>
            <m:r>
              <m:t>3</m:t>
            </m:r>
          </m:sup>
          <m:e>
            <m:sSub>
              <m:e>
                <m:r>
                  <m:t>y</m:t>
                </m:r>
              </m:e>
              <m:sub>
                <m:r>
                  <m:t>d</m:t>
                </m:r>
                <m:r>
                  <m:t>k</m:t>
                </m:r>
              </m:sub>
            </m:sSub>
          </m:e>
        </m:nary>
      </m:oMath>
      <w:r>
        <w:t xml:space="preserve">.</w:t>
      </w:r>
    </w:p>
    <w:bookmarkEnd w:id="29"/>
    <w:bookmarkStart w:id="30" w:name="información-auxiliar"/>
    <w:p>
      <w:pPr>
        <w:pStyle w:val="Heading2"/>
      </w:pPr>
      <w:r>
        <w:t xml:space="preserve">3.2 Información auxiliar</w:t>
      </w:r>
    </w:p>
    <w:p>
      <w:pPr>
        <w:pStyle w:val="FirstParagraph"/>
      </w:pPr>
      <w:r>
        <w:t xml:space="preserve">Se utilizan variables auxiliares a nivel comunal provenientes de fuentes censales y registros administrativos, recopiladas en el vector</w:t>
      </w:r>
      <w:r>
        <w:t xml:space="preserve"> </w:t>
      </w:r>
      <m:oMath>
        <m:sSub>
          <m:e>
            <m:r>
              <m:rPr>
                <m:sty m:val="b"/>
              </m:rPr>
              <m:t>x</m:t>
            </m:r>
          </m:e>
          <m:sub>
            <m:r>
              <m:t>d</m:t>
            </m:r>
          </m:sub>
        </m:sSub>
      </m:oMath>
      <w:r>
        <w:t xml:space="preserve">.</w:t>
      </w:r>
    </w:p>
    <w:bookmarkEnd w:id="30"/>
    <w:bookmarkEnd w:id="31"/>
    <w:bookmarkStart w:id="38" w:name="modelo-estadístico"/>
    <w:p>
      <w:pPr>
        <w:pStyle w:val="Heading1"/>
      </w:pPr>
      <w:r>
        <w:t xml:space="preserve">4. Modelo estadístico</w:t>
      </w:r>
    </w:p>
    <w:bookmarkStart w:id="33" w:name="modelo-de-muestreo"/>
    <w:p>
      <w:pPr>
        <w:pStyle w:val="Heading2"/>
      </w:pPr>
      <w:r>
        <w:t xml:space="preserve">4.1 Modelo de muestreo</w:t>
      </w:r>
    </w:p>
    <w:p>
      <w:pPr>
        <w:pStyle w:val="FirstParagraph"/>
      </w:pPr>
      <w:r>
        <w:t xml:space="preserve">Condicional a las proporciones verdaderas</w:t>
      </w:r>
      <w:r>
        <w:t xml:space="preserve"> </w:t>
      </w:r>
      <m:oMath>
        <m:sSub>
          <m:e>
            <m:r>
              <m:rPr>
                <m:sty m:val="b"/>
              </m:rPr>
              <m:t>θ</m:t>
            </m:r>
          </m:e>
          <m:sub>
            <m:r>
              <m:t>d</m:t>
            </m:r>
          </m:sub>
        </m:sSub>
      </m:oMath>
      <w:r>
        <w:t xml:space="preserve">, se asume que los conteos muestrales siguen una distribución multinomial:</w:t>
      </w:r>
    </w:p>
    <w:p>
      <w:pPr>
        <w:pStyle w:val="BodyText"/>
      </w:pPr>
      <w:bookmarkStart w:id="32" w:name="eq-0"/>
      <m:oMathPara>
        <m:oMathParaPr>
          <m:jc m:val="center"/>
        </m:oMathParaPr>
        <m:oMath>
          <m:sSub>
            <m:e>
              <m:r>
                <m:rPr>
                  <m:sty m:val="b"/>
                </m:rPr>
                <m:t>y</m:t>
              </m:r>
            </m:e>
            <m:sub>
              <m:r>
                <m:t>d</m:t>
              </m:r>
            </m:sub>
          </m:sSub>
          <m:r>
            <m:rPr>
              <m:sty m:val="p"/>
            </m:rPr>
            <m:t>∣</m:t>
          </m:r>
          <m:sSub>
            <m:e>
              <m:r>
                <m:rPr>
                  <m:sty m:val="b"/>
                </m:rPr>
                <m:t>θ</m:t>
              </m:r>
            </m:e>
            <m:sub>
              <m:r>
                <m:t>d</m:t>
              </m:r>
            </m:sub>
          </m:sSub>
          <m:r>
            <m:rPr>
              <m:sty m:val="p"/>
            </m:rPr>
            <m:t>∼</m:t>
          </m:r>
          <m:r>
            <m:rPr>
              <m:nor/>
              <m:sty m:val="p"/>
            </m:rPr>
            <m:t>Multinomial</m:t>
          </m:r>
          <m:d>
            <m:dPr>
              <m:begChr m:val="("/>
              <m:endChr m:val=")"/>
              <m:sepChr m:val=""/>
              <m:grow/>
            </m:dPr>
            <m:e>
              <m:sSub>
                <m:e>
                  <m:r>
                    <m:t>n</m:t>
                  </m:r>
                </m:e>
                <m:sub>
                  <m:r>
                    <m:t>d</m:t>
                  </m:r>
                </m:sub>
              </m:sSub>
              <m:r>
                <m:rPr>
                  <m:sty m:val="p"/>
                </m:rPr>
                <m:t>,</m:t>
              </m:r>
              <m:sSub>
                <m:e>
                  <m:r>
                    <m:rPr>
                      <m:sty m:val="b"/>
                    </m:rPr>
                    <m:t>θ</m:t>
                  </m:r>
                </m:e>
                <m:sub>
                  <m:r>
                    <m:t>d</m:t>
                  </m:r>
                </m:sub>
              </m:sSub>
            </m:e>
          </m:d>
          <m:r>
            <m:rPr>
              <m:sty m:val="p"/>
            </m:rPr>
            <m:t>.</m:t>
          </m:r>
          <m:r>
            <m:t>  </m:t>
          </m:r>
          <m:d>
            <m:dPr>
              <m:begChr m:val="("/>
              <m:endChr m:val=")"/>
              <m:sepChr m:val=""/>
              <m:grow/>
            </m:dPr>
            <m:e>
              <m:r>
                <m:t>1</m:t>
              </m:r>
            </m:e>
          </m:d>
        </m:oMath>
      </m:oMathPara>
      <w:bookmarkEnd w:id="32"/>
    </w:p>
    <w:bookmarkEnd w:id="33"/>
    <w:bookmarkStart w:id="35" w:name="modelo-estructural"/>
    <w:p>
      <w:pPr>
        <w:pStyle w:val="Heading2"/>
      </w:pPr>
      <w:r>
        <w:t xml:space="preserve">4.2 Modelo estructural</w:t>
      </w:r>
    </w:p>
    <w:p>
      <w:pPr>
        <w:pStyle w:val="FirstParagraph"/>
      </w:pPr>
      <w:r>
        <w:t xml:space="preserve">Se adopta un modelo multinomial logit, tomando como categoría de referencia</w:t>
      </w:r>
      <w:r>
        <w:t xml:space="preserve"> </w:t>
      </w:r>
      <m:oMath>
        <m:r>
          <m:t>k</m:t>
        </m:r>
        <m:r>
          <m:rPr>
            <m:sty m:val="p"/>
          </m:rPr>
          <m:t>=</m:t>
        </m:r>
        <m:r>
          <m:t>3</m:t>
        </m:r>
      </m:oMath>
      <w:r>
        <w:t xml:space="preserve"> </w:t>
      </w:r>
      <w:r>
        <w:t xml:space="preserve">(inactivos). Para</w:t>
      </w:r>
      <w:r>
        <w:t xml:space="preserve"> </w:t>
      </w:r>
      <m:oMath>
        <m:r>
          <m:t>k</m:t>
        </m:r>
        <m:r>
          <m:rPr>
            <m:sty m:val="p"/>
          </m:rPr>
          <m:t>=</m:t>
        </m:r>
        <m:r>
          <m:t>1</m:t>
        </m:r>
        <m:r>
          <m:rPr>
            <m:sty m:val="p"/>
          </m:rPr>
          <m:t>,</m:t>
        </m:r>
        <m:r>
          <m:t>2</m:t>
        </m:r>
      </m:oMath>
      <w:r>
        <w:t xml:space="preserve">:</w:t>
      </w:r>
    </w:p>
    <w:p>
      <w:pPr>
        <w:pStyle w:val="BodyText"/>
      </w:pPr>
      <w:bookmarkStart w:id="34" w:name="eq-1"/>
      <m:oMathPara>
        <m:oMathParaPr>
          <m:jc m:val="center"/>
        </m:oMathParaPr>
        <m:oMath>
          <m:r>
            <m:rPr>
              <m:sty m:val="p"/>
            </m:rPr>
            <m:t>log</m:t>
          </m:r>
          <m:d>
            <m:dPr>
              <m:begChr m:val="("/>
              <m:endChr m:val=")"/>
              <m:sepChr m:val=""/>
              <m:grow/>
            </m:dPr>
            <m:e>
              <m:f>
                <m:fPr>
                  <m:type m:val="bar"/>
                </m:fPr>
                <m:num>
                  <m:sSub>
                    <m:e>
                      <m:r>
                        <m:t>θ</m:t>
                      </m:r>
                    </m:e>
                    <m:sub>
                      <m:r>
                        <m:t>d</m:t>
                      </m:r>
                      <m:r>
                        <m:t>k</m:t>
                      </m:r>
                    </m:sub>
                  </m:sSub>
                </m:num>
                <m:den>
                  <m:sSub>
                    <m:e>
                      <m:r>
                        <m:t>θ</m:t>
                      </m:r>
                    </m:e>
                    <m:sub>
                      <m:r>
                        <m:t>d</m:t>
                      </m:r>
                      <m:r>
                        <m:t>3</m:t>
                      </m:r>
                    </m:sub>
                  </m:sSub>
                </m:den>
              </m:f>
            </m:e>
          </m:d>
          <m:r>
            <m:rPr>
              <m:sty m:val="p"/>
            </m:rPr>
            <m:t>=</m:t>
          </m:r>
          <m:sSubSup>
            <m:e>
              <m:r>
                <m:rPr>
                  <m:sty m:val="b"/>
                </m:rPr>
                <m:t>x</m:t>
              </m:r>
            </m:e>
            <m:sub>
              <m:r>
                <m:t>d</m:t>
              </m:r>
            </m:sub>
            <m:sup>
              <m:r>
                <m:rPr>
                  <m:sty m:val="p"/>
                </m:rPr>
                <m:t>⊤</m:t>
              </m:r>
            </m:sup>
          </m:sSubSup>
          <m:sSub>
            <m:e>
              <m:r>
                <m:rPr>
                  <m:sty m:val="b"/>
                </m:rPr>
                <m:t>β</m:t>
              </m:r>
            </m:e>
            <m:sub>
              <m:r>
                <m:t>k</m:t>
              </m:r>
            </m:sub>
          </m:sSub>
          <m:r>
            <m:rPr>
              <m:sty m:val="p"/>
            </m:rPr>
            <m:t>+</m:t>
          </m:r>
          <m:sSub>
            <m:e>
              <m:r>
                <m:t>u</m:t>
              </m:r>
            </m:e>
            <m:sub>
              <m:r>
                <m:t>d</m:t>
              </m:r>
              <m:r>
                <m:t>k</m:t>
              </m:r>
            </m:sub>
          </m:sSub>
          <m:r>
            <m:rPr>
              <m:sty m:val="p"/>
            </m:rPr>
            <m:t>,</m:t>
          </m:r>
          <m:r>
            <m:t> </m:t>
          </m:r>
          <m:r>
            <m:t>k</m:t>
          </m:r>
          <m:r>
            <m:rPr>
              <m:sty m:val="p"/>
            </m:rPr>
            <m:t>=</m:t>
          </m:r>
          <m:r>
            <m:t>1</m:t>
          </m:r>
          <m:r>
            <m:rPr>
              <m:sty m:val="p"/>
            </m:rPr>
            <m:t>,</m:t>
          </m:r>
          <m:r>
            <m:t>2</m:t>
          </m:r>
          <m:r>
            <m:t>  </m:t>
          </m:r>
          <m:d>
            <m:dPr>
              <m:begChr m:val="("/>
              <m:endChr m:val=")"/>
              <m:sepChr m:val=""/>
              <m:grow/>
            </m:dPr>
            <m:e>
              <m:r>
                <m:t>2</m:t>
              </m:r>
            </m:e>
          </m:d>
        </m:oMath>
      </m:oMathPara>
      <w:bookmarkEnd w:id="34"/>
    </w:p>
    <w:p>
      <w:pPr>
        <w:pStyle w:val="FirstParagraph"/>
      </w:pPr>
      <w:r>
        <w:t xml:space="preserve">donde</w:t>
      </w:r>
      <w:r>
        <w:t xml:space="preserve"> </w:t>
      </w:r>
      <m:oMath>
        <m:sSub>
          <m:e>
            <m:r>
              <m:rPr>
                <m:sty m:val="b"/>
              </m:rPr>
              <m:t>β</m:t>
            </m:r>
          </m:e>
          <m:sub>
            <m:r>
              <m:t>k</m:t>
            </m:r>
          </m:sub>
        </m:sSub>
      </m:oMath>
      <w:r>
        <w:t xml:space="preserve"> </w:t>
      </w:r>
      <w:r>
        <w:t xml:space="preserve">es un vector de coeficientes fijos y</w:t>
      </w:r>
      <w:r>
        <w:t xml:space="preserve"> </w:t>
      </w:r>
      <m:oMath>
        <m:sSub>
          <m:e>
            <m:r>
              <m:t>u</m:t>
            </m:r>
          </m:e>
          <m:sub>
            <m:r>
              <m:t>d</m:t>
            </m:r>
            <m:r>
              <m:t>k</m:t>
            </m:r>
          </m:sub>
        </m:sSub>
      </m:oMath>
      <w:r>
        <w:t xml:space="preserve"> </w:t>
      </w:r>
      <w:r>
        <w:t xml:space="preserve">corresponde a un efecto aleatorio comunal.</w:t>
      </w:r>
    </w:p>
    <w:bookmarkEnd w:id="35"/>
    <w:bookmarkStart w:id="37" w:name="efectos-aleatorios"/>
    <w:p>
      <w:pPr>
        <w:pStyle w:val="Heading2"/>
      </w:pPr>
      <w:r>
        <w:t xml:space="preserve">4.3 Efectos aleatorios</w:t>
      </w:r>
    </w:p>
    <w:p>
      <w:pPr>
        <w:pStyle w:val="FirstParagraph"/>
      </w:pPr>
      <w:r>
        <w:t xml:space="preserve">Los efectos aleatorios se modelan como:</w:t>
      </w:r>
    </w:p>
    <w:p>
      <w:pPr>
        <w:pStyle w:val="BodyText"/>
      </w:pPr>
      <w:bookmarkStart w:id="36" w:name="eq-2"/>
      <m:oMathPara>
        <m:oMathParaPr>
          <m:jc m:val="center"/>
        </m:oMathParaPr>
        <m:oMath>
          <m:sSub>
            <m:e>
              <m:r>
                <m:t>u</m:t>
              </m:r>
            </m:e>
            <m:sub>
              <m:r>
                <m:t>d</m:t>
              </m:r>
              <m:r>
                <m:t>k</m:t>
              </m:r>
            </m:sub>
          </m:sSub>
          <m:r>
            <m:rPr>
              <m:sty m:val="p"/>
            </m:rPr>
            <m:t>∼</m:t>
          </m:r>
          <m:r>
            <m:rPr>
              <m:sty m:val="p"/>
              <m:scr m:val="script"/>
            </m:rPr>
            <m:t>N</m:t>
          </m:r>
          <m:d>
            <m:dPr>
              <m:begChr m:val="("/>
              <m:endChr m:val=")"/>
              <m:sepChr m:val=""/>
              <m:grow/>
            </m:dPr>
            <m:e>
              <m:r>
                <m:t>0</m:t>
              </m:r>
              <m:r>
                <m:rPr>
                  <m:sty m:val="p"/>
                </m:rPr>
                <m:t>,</m:t>
              </m:r>
              <m:sSubSup>
                <m:e>
                  <m:r>
                    <m:t>σ</m:t>
                  </m:r>
                </m:e>
                <m:sub>
                  <m:r>
                    <m:t>k</m:t>
                  </m:r>
                </m:sub>
                <m:sup>
                  <m:r>
                    <m:t>2</m:t>
                  </m:r>
                </m:sup>
              </m:sSubSup>
            </m:e>
          </m:d>
          <m:r>
            <m:rPr>
              <m:sty m:val="p"/>
            </m:rPr>
            <m:t>,</m:t>
          </m:r>
          <m:r>
            <m:t>  </m:t>
          </m:r>
          <m:d>
            <m:dPr>
              <m:begChr m:val="("/>
              <m:endChr m:val=")"/>
              <m:sepChr m:val=""/>
              <m:grow/>
            </m:dPr>
            <m:e>
              <m:r>
                <m:t>3</m:t>
              </m:r>
            </m:e>
          </m:d>
        </m:oMath>
      </m:oMathPara>
      <w:bookmarkEnd w:id="36"/>
    </w:p>
    <w:p>
      <w:pPr>
        <w:pStyle w:val="FirstParagraph"/>
      </w:pPr>
      <w:r>
        <w:t xml:space="preserve">asumiendo independencia entre comunas.</w:t>
      </w:r>
    </w:p>
    <w:bookmarkEnd w:id="37"/>
    <w:bookmarkEnd w:id="38"/>
    <w:bookmarkStart w:id="42" w:name="inferencia-bayesiana"/>
    <w:p>
      <w:pPr>
        <w:pStyle w:val="Heading1"/>
      </w:pPr>
      <w:r>
        <w:t xml:space="preserve">5. Inferencia bayesiana</w:t>
      </w:r>
    </w:p>
    <w:bookmarkStart w:id="40" w:name="priori"/>
    <w:p>
      <w:pPr>
        <w:pStyle w:val="Heading2"/>
      </w:pPr>
      <w:r>
        <w:t xml:space="preserve">5.1 Priori</w:t>
      </w:r>
    </w:p>
    <w:p>
      <w:pPr>
        <w:pStyle w:val="FirstParagraph"/>
      </w:pPr>
      <w:r>
        <w:t xml:space="preserve">Se especifican distribuciones a priori débiles para los parámetros del modelo:</w:t>
      </w:r>
    </w:p>
    <w:p>
      <w:pPr>
        <w:pStyle w:val="BodyText"/>
      </w:pPr>
      <w:bookmarkStart w:id="39" w:name="eq-3"/>
      <m:oMathPara>
        <m:oMathParaPr>
          <m:jc m:val="center"/>
        </m:oMathParaPr>
        <m:oMath>
          <m:sSub>
            <m:e>
              <m:r>
                <m:rPr>
                  <m:sty m:val="b"/>
                </m:rPr>
                <m:t>β</m:t>
              </m:r>
            </m:e>
            <m:sub>
              <m:r>
                <m:t>k</m:t>
              </m:r>
            </m:sub>
          </m:sSub>
          <m:r>
            <m:rPr>
              <m:sty m:val="p"/>
            </m:rPr>
            <m:t>∼</m:t>
          </m:r>
          <m:r>
            <m:rPr>
              <m:sty m:val="p"/>
              <m:scr m:val="script"/>
            </m:rPr>
            <m:t>N</m:t>
          </m:r>
          <m:d>
            <m:dPr>
              <m:begChr m:val="("/>
              <m:endChr m:val=")"/>
              <m:sepChr m:val=""/>
              <m:grow/>
            </m:dPr>
            <m:e>
              <m:r>
                <m:t>0</m:t>
              </m:r>
              <m:r>
                <m:rPr>
                  <m:sty m:val="p"/>
                </m:rPr>
                <m:t>,</m:t>
              </m:r>
              <m:sSup>
                <m:e>
                  <m:r>
                    <m:t>τ</m:t>
                  </m:r>
                </m:e>
                <m:sup>
                  <m:r>
                    <m:t>2</m:t>
                  </m:r>
                </m:sup>
              </m:sSup>
              <m:r>
                <m:t>I</m:t>
              </m:r>
            </m:e>
          </m:d>
          <m:r>
            <m:rPr>
              <m:sty m:val="p"/>
            </m:rPr>
            <m:t>,</m:t>
          </m:r>
          <m:r>
            <m:t>  </m:t>
          </m:r>
          <m:sSub>
            <m:e>
              <m:r>
                <m:t>σ</m:t>
              </m:r>
            </m:e>
            <m:sub>
              <m:r>
                <m:t>k</m:t>
              </m:r>
            </m:sub>
          </m:sSub>
          <m:r>
            <m:rPr>
              <m:sty m:val="p"/>
            </m:rPr>
            <m:t>∼</m:t>
          </m:r>
          <m:r>
            <m:rPr>
              <m:nor/>
              <m:sty m:val="p"/>
            </m:rPr>
            <m:t>Half-Cauchy</m:t>
          </m:r>
          <m:d>
            <m:dPr>
              <m:begChr m:val="("/>
              <m:endChr m:val=")"/>
              <m:sepChr m:val=""/>
              <m:grow/>
            </m:dPr>
            <m:e>
              <m:r>
                <m:t>0</m:t>
              </m:r>
              <m:r>
                <m:rPr>
                  <m:sty m:val="p"/>
                </m:rPr>
                <m:t>,</m:t>
              </m:r>
              <m:r>
                <m:t>A</m:t>
              </m:r>
            </m:e>
          </m:d>
          <m:r>
            <m:rPr>
              <m:sty m:val="p"/>
            </m:rPr>
            <m:t>.</m:t>
          </m:r>
          <m:r>
            <m:t>  </m:t>
          </m:r>
          <m:d>
            <m:dPr>
              <m:begChr m:val="("/>
              <m:endChr m:val=")"/>
              <m:sepChr m:val=""/>
              <m:grow/>
            </m:dPr>
            <m:e>
              <m:r>
                <m:t>4</m:t>
              </m:r>
            </m:e>
          </m:d>
        </m:oMath>
      </m:oMathPara>
      <w:bookmarkEnd w:id="39"/>
    </w:p>
    <w:bookmarkEnd w:id="40"/>
    <w:bookmarkStart w:id="41" w:name="estimación"/>
    <w:p>
      <w:pPr>
        <w:pStyle w:val="Heading2"/>
      </w:pPr>
      <w:r>
        <w:t xml:space="preserve">5.2 Estimación</w:t>
      </w:r>
    </w:p>
    <w:p>
      <w:pPr>
        <w:pStyle w:val="FirstParagraph"/>
      </w:pPr>
      <w:r>
        <w:t xml:space="preserve">La inferencia se realiza mediante simulación MCMC, obteniendo muestras de la distribución posterior de los parámetros y de las proporciones comunales.</w:t>
      </w:r>
    </w:p>
    <w:bookmarkEnd w:id="41"/>
    <w:bookmarkEnd w:id="42"/>
    <w:bookmarkStart w:id="46" w:name="resultados"/>
    <w:p>
      <w:pPr>
        <w:pStyle w:val="Heading1"/>
      </w:pPr>
      <w:r>
        <w:t xml:space="preserve">6. Resultados</w:t>
      </w:r>
    </w:p>
    <w:bookmarkStart w:id="44" w:name="estimaciones-comunales"/>
    <w:p>
      <w:pPr>
        <w:pStyle w:val="Heading2"/>
      </w:pPr>
      <w:r>
        <w:t xml:space="preserve">6.1 Estimaciones comunales</w:t>
      </w:r>
    </w:p>
    <w:p>
      <w:pPr>
        <w:pStyle w:val="FirstParagraph"/>
      </w:pPr>
      <w:r>
        <w:t xml:space="preserve">La tasa de desocupación comunal se define como:</w:t>
      </w:r>
    </w:p>
    <w:p>
      <w:pPr>
        <w:pStyle w:val="BodyText"/>
      </w:pPr>
      <w:bookmarkStart w:id="43" w:name="eq-4"/>
      <m:oMathPara>
        <m:oMathParaPr>
          <m:jc m:val="center"/>
        </m:oMathParaPr>
        <m:oMath>
          <m:r>
            <m:t>T</m:t>
          </m:r>
          <m:sSub>
            <m:e>
              <m:r>
                <m:t>D</m:t>
              </m:r>
            </m:e>
            <m:sub>
              <m:r>
                <m:t>d</m:t>
              </m:r>
            </m:sub>
          </m:sSub>
          <m:r>
            <m:rPr>
              <m:sty m:val="p"/>
            </m:rPr>
            <m:t>=</m:t>
          </m:r>
          <m:sSub>
            <m:e>
              <m:r>
                <m:t>θ</m:t>
              </m:r>
            </m:e>
            <m:sub>
              <m:r>
                <m:t>d</m:t>
              </m:r>
              <m:r>
                <m:t>2</m:t>
              </m:r>
            </m:sub>
          </m:sSub>
          <m:r>
            <m:rPr>
              <m:sty m:val="p"/>
            </m:rPr>
            <m:t>.</m:t>
          </m:r>
          <m:r>
            <m:t>  </m:t>
          </m:r>
          <m:d>
            <m:dPr>
              <m:begChr m:val="("/>
              <m:endChr m:val=")"/>
              <m:sepChr m:val=""/>
              <m:grow/>
            </m:dPr>
            <m:e>
              <m:r>
                <m:t>5</m:t>
              </m:r>
            </m:e>
          </m:d>
        </m:oMath>
      </m:oMathPara>
      <w:bookmarkEnd w:id="43"/>
    </w:p>
    <w:p>
      <w:pPr>
        <w:pStyle w:val="FirstParagraph"/>
      </w:pPr>
      <w:r>
        <w:t xml:space="preserve">Se reportan estimaciones puntuales posteriores y intervalos de credibilidad al 95%.</w:t>
      </w:r>
    </w:p>
    <w:bookmarkEnd w:id="44"/>
    <w:bookmarkStart w:id="45" w:name="comparación-con-estimación-directa"/>
    <w:p>
      <w:pPr>
        <w:pStyle w:val="Heading2"/>
      </w:pPr>
      <w:r>
        <w:t xml:space="preserve">6.2 Comparación con estimación directa</w:t>
      </w:r>
    </w:p>
    <w:p>
      <w:pPr>
        <w:pStyle w:val="FirstParagraph"/>
      </w:pPr>
      <w:r>
        <w:t xml:space="preserve">Las estimaciones SAE se comparan con los estimadores directos en términos de precisión y estabilidad.</w:t>
      </w:r>
    </w:p>
    <w:bookmarkEnd w:id="45"/>
    <w:bookmarkEnd w:id="46"/>
    <w:bookmarkStart w:id="47" w:name="conclusiones"/>
    <w:p>
      <w:pPr>
        <w:pStyle w:val="Heading1"/>
      </w:pPr>
      <w:r>
        <w:t xml:space="preserve">7. Conclusiones</w:t>
      </w:r>
    </w:p>
    <w:p>
      <w:pPr>
        <w:pStyle w:val="FirstParagraph"/>
      </w:pPr>
      <w:r>
        <w:t xml:space="preserve">La aplicación del modelo bayesiano multinomial SAE permite obtener estimaciones comunales más precisas y coherentes de la tasa de desocupación, constituyendo una herramienta robusta para la producción estadística oficial.</w:t>
      </w:r>
    </w:p>
    <w:bookmarkEnd w:id="47"/>
    <w:bookmarkStart w:id="56" w:name="resultados-visuales"/>
    <w:p>
      <w:pPr>
        <w:pStyle w:val="Heading1"/>
      </w:pPr>
      <w:r>
        <w:t xml:space="preserve">8. Resultados Visuales</w:t>
      </w:r>
    </w:p>
    <w:p>
      <w:pPr>
        <w:pStyle w:val="FirstParagraph"/>
      </w:pPr>
      <w:r>
        <w:t xml:space="preserve">A continuación, se presenta la distribución de la tasa de desocupación. Como se observa en la</w:t>
      </w:r>
      <w:r>
        <w:t xml:space="preserve"> </w:t>
      </w:r>
      <w:hyperlink w:anchor="fig-1">
        <w:r>
          <w:rPr>
            <w:rStyle w:val="Hyperlink"/>
          </w:rPr>
          <w:t xml:space="preserve">Figura 1</w:t>
        </w:r>
      </w:hyperlink>
      <w:r>
        <w:t xml:space="preserve">, las variaciones espaciales son significativas.</w:t>
      </w:r>
    </w:p>
    <w:tbl>
      <w:tblPr>
        <w:tblStyle w:val="Table"/>
        <w:tblW w:type="pct" w:w="5000"/>
        <w:tblLook w:firstRow="0" w:lastRow="0" w:firstColumn="0" w:lastColumn="0" w:noHBand="0" w:noVBand="0" w:val="0000"/>
        <w:jc w:val="start"/>
      </w:tblPr>
      <w:tblGrid>
        <w:gridCol w:w="7920"/>
      </w:tblGrid>
      <w:tr>
        <w:tc>
          <w:tcPr/>
          <w:bookmarkStart w:id="51" w:name="fig-1"/>
          <w:p>
            <w:pPr>
              <w:jc w:val="center"/>
            </w:pPr>
            <w:r>
              <w:drawing>
                <wp:inline>
                  <wp:extent cx="4000500" cy="1662129"/>
                  <wp:effectExtent b="0" l="0" r="0" t="0"/>
                  <wp:docPr descr="" title="" id="49" name="Picture"/>
                  <a:graphic>
                    <a:graphicData uri="http://schemas.openxmlformats.org/drawingml/2006/picture">
                      <pic:pic>
                        <pic:nvPicPr>
                          <pic:cNvPr descr="graficos/g1.png" id="50" name="Picture"/>
                          <pic:cNvPicPr>
                            <a:picLocks noChangeArrowheads="1" noChangeAspect="1"/>
                          </pic:cNvPicPr>
                        </pic:nvPicPr>
                        <pic:blipFill>
                          <a:blip r:embed="rId48"/>
                          <a:stretch>
                            <a:fillRect/>
                          </a:stretch>
                        </pic:blipFill>
                        <pic:spPr bwMode="auto">
                          <a:xfrm>
                            <a:off x="0" y="0"/>
                            <a:ext cx="4000500" cy="1662129"/>
                          </a:xfrm>
                          <a:prstGeom prst="rect">
                            <a:avLst/>
                          </a:prstGeom>
                          <a:noFill/>
                          <a:ln w="9525">
                            <a:noFill/>
                            <a:headEnd/>
                            <a:tailEnd/>
                          </a:ln>
                        </pic:spPr>
                      </pic:pic>
                    </a:graphicData>
                  </a:graphic>
                </wp:inline>
              </w:drawing>
            </w:r>
          </w:p>
          <w:p>
            <w:pPr>
              <w:jc w:val="center"/>
            </w:pPr>
            <w:pPr>
              <w:jc w:val="start"/>
              <w:spacing w:before="200"/>
              <w:pStyle w:val="ImageCaption"/>
            </w:pPr>
            <w:r>
              <w:t xml:space="preserve">Figura 1: Comparación SAE vs. Directa</w:t>
            </w:r>
          </w:p>
          <w:bookmarkEnd w:id="51"/>
        </w:tc>
      </w:tr>
    </w:tbl>
    <w:p>
      <w:pPr>
        <w:pStyle w:val="BodyText"/>
      </w:pPr>
      <w:r>
        <w:t xml:space="preserve"> </w:t>
      </w:r>
    </w:p>
    <w:tbl>
      <w:tblPr>
        <w:tblStyle w:val="Table"/>
        <w:tblW w:type="pct" w:w="5000"/>
        <w:tblLook w:firstRow="0" w:lastRow="0" w:firstColumn="0" w:lastColumn="0" w:noHBand="0" w:noVBand="0" w:val="0000"/>
        <w:jc w:val="start"/>
      </w:tblPr>
      <w:tblGrid>
        <w:gridCol w:w="7920"/>
      </w:tblGrid>
      <w:tr>
        <w:tc>
          <w:tcPr/>
          <w:bookmarkStart w:id="55" w:name="fig-2"/>
          <w:p>
            <w:pPr>
              <w:jc w:val="center"/>
            </w:pPr>
            <w:r>
              <w:drawing>
                <wp:inline>
                  <wp:extent cx="4000500" cy="2370666"/>
                  <wp:effectExtent b="0" l="0" r="0" t="0"/>
                  <wp:docPr descr="" title="" id="53" name="Picture"/>
                  <a:graphic>
                    <a:graphicData uri="http://schemas.openxmlformats.org/drawingml/2006/picture">
                      <pic:pic>
                        <pic:nvPicPr>
                          <pic:cNvPr descr="graficos/g2.png" id="54" name="Picture"/>
                          <pic:cNvPicPr>
                            <a:picLocks noChangeArrowheads="1" noChangeAspect="1"/>
                          </pic:cNvPicPr>
                        </pic:nvPicPr>
                        <pic:blipFill>
                          <a:blip r:embed="rId52"/>
                          <a:stretch>
                            <a:fillRect/>
                          </a:stretch>
                        </pic:blipFill>
                        <pic:spPr bwMode="auto">
                          <a:xfrm>
                            <a:off x="0" y="0"/>
                            <a:ext cx="4000500" cy="2370666"/>
                          </a:xfrm>
                          <a:prstGeom prst="rect">
                            <a:avLst/>
                          </a:prstGeom>
                          <a:noFill/>
                          <a:ln w="9525">
                            <a:noFill/>
                            <a:headEnd/>
                            <a:tailEnd/>
                          </a:ln>
                        </pic:spPr>
                      </pic:pic>
                    </a:graphicData>
                  </a:graphic>
                </wp:inline>
              </w:drawing>
            </w:r>
          </w:p>
          <w:p>
            <w:pPr>
              <w:jc w:val="center"/>
            </w:pPr>
            <w:pPr>
              <w:jc w:val="start"/>
              <w:spacing w:before="200"/>
              <w:pStyle w:val="ImageCaption"/>
            </w:pPr>
            <w:r>
              <w:t xml:space="preserve">Figura 2: Evaluación LOO-PIT Q-Q</w:t>
            </w:r>
          </w:p>
          <w:bookmarkEnd w:id="55"/>
        </w:tc>
      </w:tr>
    </w:tbl>
    <w:bookmarkEnd w:id="56"/>
    <w:bookmarkStart w:id="65" w:name="bibliografía"/>
    <w:p>
      <w:pPr>
        <w:pStyle w:val="Heading1"/>
      </w:pPr>
      <w:r>
        <w:t xml:space="preserve">Bibliografía</w:t>
      </w:r>
    </w:p>
    <w:bookmarkStart w:id="64" w:name="refs"/>
    <w:bookmarkStart w:id="58" w:name="ref-fao2024foodinsecurity"/>
    <w:p>
      <w:pPr>
        <w:pStyle w:val="Bibliography"/>
      </w:pPr>
      <w:r>
        <w:t xml:space="preserve">FAO. (2024).</w:t>
      </w:r>
      <w:r>
        <w:t xml:space="preserve"> </w:t>
      </w:r>
      <w:r>
        <w:rPr>
          <w:iCs/>
          <w:i/>
        </w:rPr>
        <w:t xml:space="preserve">Estimation of the prevalence of moderate and severe food insecurity in Chilean municipalities using small area estimation methods</w:t>
      </w:r>
      <w:r>
        <w:t xml:space="preserve">. Food; Agriculture Organization of the United Nations.</w:t>
      </w:r>
      <w:r>
        <w:t xml:space="preserve"> </w:t>
      </w:r>
      <w:hyperlink r:id="rId57">
        <w:r>
          <w:rPr>
            <w:rStyle w:val="Hyperlink"/>
          </w:rPr>
          <w:t xml:space="preserve">https://doi.org/10.4060/cd1350en</w:t>
        </w:r>
      </w:hyperlink>
    </w:p>
    <w:bookmarkEnd w:id="58"/>
    <w:bookmarkStart w:id="59" w:name="ref-gelman2013bayesian"/>
    <w:p>
      <w:pPr>
        <w:pStyle w:val="Bibliography"/>
      </w:pPr>
      <w:r>
        <w:t xml:space="preserve">Gelman, A., Carlin, J. B., Stern, H. S., &amp; Dunson, D. B. (2013).</w:t>
      </w:r>
      <w:r>
        <w:t xml:space="preserve"> </w:t>
      </w:r>
      <w:r>
        <w:rPr>
          <w:iCs/>
          <w:i/>
        </w:rPr>
        <w:t xml:space="preserve">Bayesian Data Analysis</w:t>
      </w:r>
      <w:r>
        <w:t xml:space="preserve">. CRC Press.</w:t>
      </w:r>
    </w:p>
    <w:bookmarkEnd w:id="59"/>
    <w:bookmarkStart w:id="60" w:name="ref-pereira2011smallareas"/>
    <w:p>
      <w:pPr>
        <w:pStyle w:val="Bibliography"/>
      </w:pPr>
      <w:r>
        <w:t xml:space="preserve">Pereira, L. N., Mendes, J. M., &amp; Coelho, P. S. (2011). Estimation of unemployment rates in small areas of Portugal: A best linear unbiased prediction approach versus a hierarchical Bayes approach.</w:t>
      </w:r>
      <w:r>
        <w:t xml:space="preserve"> </w:t>
      </w:r>
      <w:r>
        <w:rPr>
          <w:iCs/>
          <w:i/>
        </w:rPr>
        <w:t xml:space="preserve">Proceedings of the 17th European Young Statisticians Meeting</w:t>
      </w:r>
      <w:r>
        <w:t xml:space="preserve">.</w:t>
      </w:r>
    </w:p>
    <w:bookmarkEnd w:id="60"/>
    <w:bookmarkStart w:id="61" w:name="ref-rao2015small"/>
    <w:p>
      <w:pPr>
        <w:pStyle w:val="Bibliography"/>
      </w:pPr>
      <w:r>
        <w:t xml:space="preserve">Rao, J. N. K., &amp; Molina, I. (2015).</w:t>
      </w:r>
      <w:r>
        <w:t xml:space="preserve"> </w:t>
      </w:r>
      <w:r>
        <w:rPr>
          <w:iCs/>
          <w:i/>
        </w:rPr>
        <w:t xml:space="preserve">Small Area Estimation</w:t>
      </w:r>
      <w:r>
        <w:t xml:space="preserve">. Wiley.</w:t>
      </w:r>
    </w:p>
    <w:bookmarkEnd w:id="61"/>
    <w:bookmarkStart w:id="63" w:name="ref-sparks2014bayesian"/>
    <w:p>
      <w:pPr>
        <w:pStyle w:val="Bibliography"/>
      </w:pPr>
      <w:r>
        <w:t xml:space="preserve">Sparks, C., &amp; Campbell, J. (2014). An Application of Bayesian Methods to Small Area Poverty Rate Estimates.</w:t>
      </w:r>
      <w:r>
        <w:t xml:space="preserve"> </w:t>
      </w:r>
      <w:r>
        <w:rPr>
          <w:iCs/>
          <w:i/>
        </w:rPr>
        <w:t xml:space="preserve">Population Research and Policy Review</w:t>
      </w:r>
      <w:r>
        <w:t xml:space="preserve">,</w:t>
      </w:r>
      <w:r>
        <w:t xml:space="preserve"> </w:t>
      </w:r>
      <w:r>
        <w:rPr>
          <w:iCs/>
          <w:i/>
        </w:rPr>
        <w:t xml:space="preserve">33</w:t>
      </w:r>
      <w:r>
        <w:t xml:space="preserve">, 455-477.</w:t>
      </w:r>
      <w:r>
        <w:t xml:space="preserve"> </w:t>
      </w:r>
      <w:hyperlink r:id="rId62">
        <w:r>
          <w:rPr>
            <w:rStyle w:val="Hyperlink"/>
          </w:rPr>
          <w:t xml:space="preserve">https://doi.org/10.1007/s11113-013-9303-8</w:t>
        </w:r>
      </w:hyperlink>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hyperlink" Id="rId62" Target="https://doi.org/10.1007/s11113-013-9303-8" TargetMode="External" /><Relationship Type="http://schemas.openxmlformats.org/officeDocument/2006/relationships/hyperlink" Id="rId57" Target="https://doi.org/10.4060/cd1350en" TargetMode="External" /></Relationships>
</file>

<file path=word/_rels/footnotes.xml.rels><?xml version="1.0" encoding="UTF-8"?><Relationships xmlns="http://schemas.openxmlformats.org/package/2006/relationships"><Relationship Type="http://schemas.openxmlformats.org/officeDocument/2006/relationships/hyperlink" Id="rId62" Target="https://doi.org/10.1007/s11113-013-9303-8" TargetMode="External" /><Relationship Type="http://schemas.openxmlformats.org/officeDocument/2006/relationships/hyperlink" Id="rId57" Target="https://doi.org/10.4060/cd1350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la tasa de desocupación comunal mediante Small Area Estimation Bayesiano</dc:title>
  <dc:creator>Álvaro Krause</dc:creator>
  <dc:language>es</dc:language>
  <cp:keywords/>
  <dcterms:created xsi:type="dcterms:W3CDTF">2026-01-26T17:37:50Z</dcterms:created>
  <dcterms:modified xsi:type="dcterms:W3CDTF">2026-01-26T17:37:50Z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n">
    <vt:lpwstr>True</vt:lpwstr>
  </property>
  <property fmtid="{D5CDD505-2E9C-101B-9397-08002B2CF9AE}" pid="7" name="csl">
    <vt:lpwstr>apa.csl</vt:lpwstr>
  </property>
  <property fmtid="{D5CDD505-2E9C-101B-9397-08002B2CF9AE}" pid="8" name="date">
    <vt:lpwstr>2026-01-26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vt:lpwstr>
  </property>
  <property fmtid="{D5CDD505-2E9C-101B-9397-08002B2CF9AE}" pid="14" name="subtitle">
    <vt:lpwstr>Modelo multinomial logit</vt:lpwstr>
  </property>
  <property fmtid="{D5CDD505-2E9C-101B-9397-08002B2CF9AE}" pid="15" name="toc-title">
    <vt:lpwstr>Tabla de contenidos</vt:lpwstr>
  </property>
</Properties>
</file>