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Estimación de la tasa de desocupación comunal mediante Small Area Estimation Bayesiano</w:t>
      </w:r>
    </w:p>
    <w:p>
      <w:pPr>
        <w:pStyle w:val="Subtitle"/>
      </w:pPr>
      <w:r>
        <w:t xml:space="preserve">Modelo multinomial logit</w:t>
      </w:r>
    </w:p>
    <w:p>
      <w:pPr>
        <w:pStyle w:val="Author"/>
      </w:pPr>
      <w:r>
        <w:t xml:space="preserve">Álvaro Krause</w:t>
      </w:r>
    </w:p>
    <w:p>
      <w:pPr>
        <w:pStyle w:val="Date"/>
      </w:pPr>
      <w:r>
        <w:t xml:space="preserve">2026-02-03</w:t>
      </w:r>
    </w:p>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20" w:name="resumen-ejecutivo"/>
    <w:p>
      <w:pPr>
        <w:pStyle w:val="Heading1"/>
      </w:pPr>
      <w:r>
        <w:t xml:space="preserve">Resumen ejecutivo</w:t>
      </w:r>
    </w:p>
    <w:p>
      <w:pPr>
        <w:pStyle w:val="FirstParagraph"/>
      </w:pPr>
      <w:r>
        <w:t xml:space="preserve">Este informe presenta la metodología y los resultados de la aplicación de Small Area Estimation (SAE) para la estimación de la tasa de desocupación a nivel comunal, utilizando un modelo bayesiano multinomial con enlace logit. El enfoque permite mejorar la precisión de las estimaciones en dominios con tamaños muestrales reducidos, manteniendo coherencia con las definiciones oficiales del mercado laboral.</w:t>
      </w:r>
    </w:p>
    <w:bookmarkEnd w:id="20"/>
    <w:bookmarkStart w:id="25" w:name="introducción"/>
    <w:p>
      <w:pPr>
        <w:pStyle w:val="Heading1"/>
      </w:pPr>
      <w:r>
        <w:t xml:space="preserve">1. Introducción</w:t>
      </w:r>
    </w:p>
    <w:bookmarkStart w:id="21" w:name="contexto-y-motivación"/>
    <w:p>
      <w:pPr>
        <w:pStyle w:val="Heading2"/>
      </w:pPr>
      <w:r>
        <w:t xml:space="preserve">1.1 Contexto y motivación</w:t>
      </w:r>
    </w:p>
    <w:p>
      <w:pPr>
        <w:pStyle w:val="FirstParagraph"/>
      </w:pPr>
      <w:r>
        <w:t xml:space="preserve">La estimación directa de indicadores laborales a nivel comunal presenta limitaciones importantes debido a la alta variabilidad asociada a tamaños muestrales pequeños. La metodología SAE permite superar estas limitaciones mediante el uso de modelos estadísticos que integran información auxiliar.</w:t>
      </w:r>
    </w:p>
    <w:bookmarkEnd w:id="21"/>
    <w:bookmarkStart w:id="24" w:name="objetivos"/>
    <w:p>
      <w:pPr>
        <w:pStyle w:val="Heading2"/>
      </w:pPr>
      <w:r>
        <w:t xml:space="preserve">1.2 Objetivos</w:t>
      </w:r>
    </w:p>
    <w:bookmarkStart w:id="22" w:name="objetivo-general"/>
    <w:p>
      <w:pPr>
        <w:pStyle w:val="Heading3"/>
      </w:pPr>
      <w:r>
        <w:t xml:space="preserve">1.2.1 Objetivo general</w:t>
      </w:r>
    </w:p>
    <w:p>
      <w:pPr>
        <w:pStyle w:val="FirstParagraph"/>
      </w:pPr>
      <w:r>
        <w:t xml:space="preserve">Estimar la tasa de desocupación comunal mediante un modelo bayesiano de Small Area Estimation.</w:t>
      </w:r>
    </w:p>
    <w:bookmarkEnd w:id="22"/>
    <w:bookmarkStart w:id="23" w:name="objetivos-específicos"/>
    <w:p>
      <w:pPr>
        <w:pStyle w:val="Heading3"/>
      </w:pPr>
      <w:r>
        <w:t xml:space="preserve">1.2.2 Objetivos específicos</w:t>
      </w:r>
    </w:p>
    <w:p>
      <w:pPr>
        <w:pStyle w:val="Compact"/>
        <w:numPr>
          <w:ilvl w:val="0"/>
          <w:numId w:val="1001"/>
        </w:numPr>
      </w:pPr>
      <w:r>
        <w:t xml:space="preserve">Incorporar información auxiliar a nivel comunal.</w:t>
      </w:r>
    </w:p>
    <w:p>
      <w:pPr>
        <w:pStyle w:val="Compact"/>
        <w:numPr>
          <w:ilvl w:val="0"/>
          <w:numId w:val="1001"/>
        </w:numPr>
      </w:pPr>
      <w:r>
        <w:t xml:space="preserve">Reducir la varianza de las estimaciones respecto de los estimadores directos.</w:t>
      </w:r>
    </w:p>
    <w:p>
      <w:pPr>
        <w:pStyle w:val="Compact"/>
        <w:numPr>
          <w:ilvl w:val="0"/>
          <w:numId w:val="1001"/>
        </w:numPr>
      </w:pPr>
      <w:r>
        <w:t xml:space="preserve">Garantizar coherencia interna entre categorías laborales.</w:t>
      </w:r>
    </w:p>
    <w:bookmarkEnd w:id="23"/>
    <w:bookmarkEnd w:id="24"/>
    <w:bookmarkEnd w:id="25"/>
    <w:bookmarkStart w:id="28" w:name="marco-conceptual"/>
    <w:p>
      <w:pPr>
        <w:pStyle w:val="Heading1"/>
      </w:pPr>
      <w:r>
        <w:t xml:space="preserve">2. Marco conceptual</w:t>
      </w:r>
    </w:p>
    <w:bookmarkStart w:id="26" w:name="indicadores-del-mercado-laboral"/>
    <w:p>
      <w:pPr>
        <w:pStyle w:val="Heading2"/>
      </w:pPr>
      <w:r>
        <w:t xml:space="preserve">2.1 Indicadores del mercado laboral</w:t>
      </w:r>
    </w:p>
    <w:p>
      <w:pPr>
        <w:pStyle w:val="FirstParagraph"/>
      </w:pPr>
      <w:r>
        <w:t xml:space="preserve">Se consideran las categorías de ocupados, desocupados e inactivos, de acuerdo con las definiciones oficiales vigentes. Para cada comuna</w:t>
      </w:r>
      <w:r>
        <w:t xml:space="preserve"> </w:t>
      </w:r>
      <m:oMath>
        <m:r>
          <m:t>d</m:t>
        </m:r>
      </m:oMath>
      <w:r>
        <w:t xml:space="preserve">, se define el vector de proporciones poblacionales:</w:t>
      </w:r>
    </w:p>
    <w:p>
      <w:pPr>
        <w:pStyle w:val="BodyText"/>
      </w:pPr>
      <m:oMathPara>
        <m:oMathParaPr>
          <m:jc m:val="center"/>
        </m:oMathParaPr>
        <m:oMath>
          <m:sSub>
            <m:e>
              <m:r>
                <m:rPr>
                  <m:sty m:val="b"/>
                </m:rPr>
                <m:t>θ</m:t>
              </m:r>
            </m:e>
            <m:sub>
              <m:r>
                <m:t>d</m:t>
              </m:r>
            </m:sub>
          </m:sSub>
          <m:r>
            <m:rPr>
              <m:sty m:val="p"/>
            </m:rPr>
            <m:t>=</m:t>
          </m:r>
          <m:d>
            <m:dPr>
              <m:begChr m:val="("/>
              <m:sepChr m:val=""/>
              <m:endChr m:val=")"/>
              <m:grow/>
            </m:dPr>
            <m:e>
              <m:sSub>
                <m:e>
                  <m:r>
                    <m:t>θ</m:t>
                  </m:r>
                </m:e>
                <m:sub>
                  <m:r>
                    <m:t>d</m:t>
                  </m:r>
                  <m:r>
                    <m:t>1</m:t>
                  </m:r>
                </m:sub>
              </m:sSub>
              <m:r>
                <m:rPr>
                  <m:sty m:val="p"/>
                </m:rPr>
                <m:t>,</m:t>
              </m:r>
              <m:sSub>
                <m:e>
                  <m:r>
                    <m:t>θ</m:t>
                  </m:r>
                </m:e>
                <m:sub>
                  <m:r>
                    <m:t>d</m:t>
                  </m:r>
                  <m:r>
                    <m:t>2</m:t>
                  </m:r>
                </m:sub>
              </m:sSub>
              <m:r>
                <m:rPr>
                  <m:sty m:val="p"/>
                </m:rPr>
                <m:t>,</m:t>
              </m:r>
              <m:sSub>
                <m:e>
                  <m:r>
                    <m:t>θ</m:t>
                  </m:r>
                </m:e>
                <m:sub>
                  <m:r>
                    <m:t>d</m:t>
                  </m:r>
                  <m:r>
                    <m:t>3</m:t>
                  </m:r>
                </m:sub>
              </m:sSub>
            </m:e>
          </m:d>
        </m:oMath>
      </m:oMathPara>
    </w:p>
    <w:p>
      <w:pPr>
        <w:pStyle w:val="FirstParagraph"/>
      </w:pPr>
      <w:r>
        <w:t xml:space="preserve">donde los subíndices corresponden a ocupados, desocupados e inactivos, respectivamente, y se cumple:</w:t>
      </w:r>
    </w:p>
    <w:p>
      <w:pPr>
        <w:pStyle w:val="BodyText"/>
      </w:pPr>
      <m:oMathPara>
        <m:oMathParaPr>
          <m:jc m:val="center"/>
        </m:oMathParaPr>
        <m:oMath>
          <m:nary>
            <m:naryPr>
              <m:chr m:val="∑"/>
              <m:limLoc m:val="undOvr"/>
              <m:subHide m:val="off"/>
              <m:supHide m:val="off"/>
            </m:naryPr>
            <m:sub>
              <m:r>
                <m:t>k</m:t>
              </m:r>
              <m:r>
                <m:rPr>
                  <m:sty m:val="p"/>
                </m:rPr>
                <m:t>=</m:t>
              </m:r>
              <m:r>
                <m:t>1</m:t>
              </m:r>
            </m:sub>
            <m:sup>
              <m:r>
                <m:t>3</m:t>
              </m:r>
            </m:sup>
            <m:e>
              <m:sSub>
                <m:e>
                  <m:r>
                    <m:t>θ</m:t>
                  </m:r>
                </m:e>
                <m:sub>
                  <m:r>
                    <m:t>d</m:t>
                  </m:r>
                  <m:r>
                    <m:t>k</m:t>
                  </m:r>
                </m:sub>
              </m:sSub>
            </m:e>
          </m:nary>
          <m:r>
            <m:rPr>
              <m:sty m:val="p"/>
            </m:rPr>
            <m:t>=</m:t>
          </m:r>
          <m:r>
            <m:t>1</m:t>
          </m:r>
          <m:r>
            <m:rPr>
              <m:sty m:val="p"/>
            </m:rPr>
            <m:t>.</m:t>
          </m:r>
        </m:oMath>
      </m:oMathPara>
    </w:p>
    <w:bookmarkEnd w:id="26"/>
    <w:bookmarkStart w:id="27" w:name="small-area-estimation"/>
    <w:p>
      <w:pPr>
        <w:pStyle w:val="Heading2"/>
      </w:pPr>
      <w:r>
        <w:t xml:space="preserve">2.2 Small Area Estimation</w:t>
      </w:r>
    </w:p>
    <w:p>
      <w:pPr>
        <w:pStyle w:val="FirstParagraph"/>
      </w:pPr>
      <w:r>
        <w:t xml:space="preserve">El enfoque SAE se basa en la especificación de un modelo probabilístico que vincula los parámetros de interés con información auxiliar disponible para todas las áreas, permitiendo estabilizar las estimaciones en dominios pequeños.</w:t>
      </w:r>
    </w:p>
    <w:bookmarkEnd w:id="27"/>
    <w:bookmarkEnd w:id="28"/>
    <w:bookmarkStart w:id="31" w:name="fuentes-de-información"/>
    <w:p>
      <w:pPr>
        <w:pStyle w:val="Heading1"/>
      </w:pPr>
      <w:r>
        <w:t xml:space="preserve">3. Fuentes de información</w:t>
      </w:r>
    </w:p>
    <w:bookmarkStart w:id="29" w:name="encuesta-base"/>
    <w:p>
      <w:pPr>
        <w:pStyle w:val="Heading2"/>
      </w:pPr>
      <w:r>
        <w:t xml:space="preserve">3.1 Encuesta base</w:t>
      </w:r>
    </w:p>
    <w:p>
      <w:pPr>
        <w:pStyle w:val="FirstParagraph"/>
      </w:pPr>
      <w:r>
        <w:t xml:space="preserve">La estimación se basa en una encuesta de hogares con diseño muestral complejo. Para cada comuna</w:t>
      </w:r>
      <w:r>
        <w:t xml:space="preserve"> </w:t>
      </w:r>
      <m:oMath>
        <m:r>
          <m:t>d</m:t>
        </m:r>
      </m:oMath>
      <w:r>
        <w:t xml:space="preserve"> </w:t>
      </w:r>
      <w:r>
        <w:t xml:space="preserve">se observa un vector de conteos:</w:t>
      </w:r>
    </w:p>
    <w:p>
      <w:pPr>
        <w:pStyle w:val="BodyText"/>
      </w:pPr>
      <m:oMathPara>
        <m:oMathParaPr>
          <m:jc m:val="center"/>
        </m:oMathParaPr>
        <m:oMath>
          <m:sSub>
            <m:e>
              <m:r>
                <m:rPr>
                  <m:sty m:val="b"/>
                </m:rPr>
                <m:t>y</m:t>
              </m:r>
            </m:e>
            <m:sub>
              <m:r>
                <m:t>d</m:t>
              </m:r>
            </m:sub>
          </m:sSub>
          <m:r>
            <m:rPr>
              <m:sty m:val="p"/>
            </m:rPr>
            <m:t>=</m:t>
          </m:r>
          <m:d>
            <m:dPr>
              <m:begChr m:val="("/>
              <m:sepChr m:val=""/>
              <m:endChr m:val=")"/>
              <m:grow/>
            </m:dPr>
            <m:e>
              <m:sSub>
                <m:e>
                  <m:r>
                    <m:t>y</m:t>
                  </m:r>
                </m:e>
                <m:sub>
                  <m:r>
                    <m:t>d</m:t>
                  </m:r>
                  <m:r>
                    <m:t>1</m:t>
                  </m:r>
                </m:sub>
              </m:sSub>
              <m:r>
                <m:rPr>
                  <m:sty m:val="p"/>
                </m:rPr>
                <m:t>,</m:t>
              </m:r>
              <m:sSub>
                <m:e>
                  <m:r>
                    <m:t>y</m:t>
                  </m:r>
                </m:e>
                <m:sub>
                  <m:r>
                    <m:t>d</m:t>
                  </m:r>
                  <m:r>
                    <m:t>2</m:t>
                  </m:r>
                </m:sub>
              </m:sSub>
              <m:r>
                <m:rPr>
                  <m:sty m:val="p"/>
                </m:rPr>
                <m:t>,</m:t>
              </m:r>
              <m:sSub>
                <m:e>
                  <m:r>
                    <m:t>y</m:t>
                  </m:r>
                </m:e>
                <m:sub>
                  <m:r>
                    <m:t>d</m:t>
                  </m:r>
                  <m:r>
                    <m:t>3</m:t>
                  </m:r>
                </m:sub>
              </m:sSub>
            </m:e>
          </m:d>
        </m:oMath>
      </m:oMathPara>
    </w:p>
    <w:p>
      <w:pPr>
        <w:pStyle w:val="FirstParagraph"/>
      </w:pPr>
      <w:r>
        <w:t xml:space="preserve">con tamaño muestral total</w:t>
      </w:r>
      <w:r>
        <w:t xml:space="preserve"> </w:t>
      </w:r>
      <m:oMath>
        <m:sSub>
          <m:e>
            <m:r>
              <m:t>n</m:t>
            </m:r>
          </m:e>
          <m:sub>
            <m:r>
              <m:t>d</m:t>
            </m:r>
          </m:sub>
        </m:sSub>
        <m:r>
          <m:rPr>
            <m:sty m:val="p"/>
          </m:rPr>
          <m:t>=</m:t>
        </m:r>
        <m:nary>
          <m:naryPr>
            <m:chr m:val="∑"/>
            <m:limLoc m:val="undOvr"/>
            <m:subHide m:val="off"/>
            <m:supHide m:val="off"/>
          </m:naryPr>
          <m:sub>
            <m:r>
              <m:t>k</m:t>
            </m:r>
            <m:r>
              <m:rPr>
                <m:sty m:val="p"/>
              </m:rPr>
              <m:t>=</m:t>
            </m:r>
            <m:r>
              <m:t>1</m:t>
            </m:r>
          </m:sub>
          <m:sup>
            <m:r>
              <m:t>3</m:t>
            </m:r>
          </m:sup>
          <m:e>
            <m:sSub>
              <m:e>
                <m:r>
                  <m:t>y</m:t>
                </m:r>
              </m:e>
              <m:sub>
                <m:r>
                  <m:t>d</m:t>
                </m:r>
                <m:r>
                  <m:t>k</m:t>
                </m:r>
              </m:sub>
            </m:sSub>
          </m:e>
        </m:nary>
      </m:oMath>
      <w:r>
        <w:t xml:space="preserve">.</w:t>
      </w:r>
    </w:p>
    <w:bookmarkEnd w:id="29"/>
    <w:bookmarkStart w:id="30" w:name="información-auxiliar"/>
    <w:p>
      <w:pPr>
        <w:pStyle w:val="Heading2"/>
      </w:pPr>
      <w:r>
        <w:t xml:space="preserve">3.2 Información auxiliar</w:t>
      </w:r>
    </w:p>
    <w:p>
      <w:pPr>
        <w:pStyle w:val="FirstParagraph"/>
      </w:pPr>
      <w:r>
        <w:t xml:space="preserve">Se utilizan variables auxiliares a nivel comunal provenientes de fuentes censales y registros administrativos, recopiladas en el vector</w:t>
      </w:r>
      <w:r>
        <w:t xml:space="preserve"> </w:t>
      </w:r>
      <m:oMath>
        <m:sSub>
          <m:e>
            <m:r>
              <m:rPr>
                <m:sty m:val="b"/>
              </m:rPr>
              <m:t>x</m:t>
            </m:r>
          </m:e>
          <m:sub>
            <m:r>
              <m:t>d</m:t>
            </m:r>
          </m:sub>
        </m:sSub>
      </m:oMath>
      <w:r>
        <w:t xml:space="preserve">.</w:t>
      </w:r>
    </w:p>
    <w:bookmarkEnd w:id="30"/>
    <w:bookmarkEnd w:id="31"/>
    <w:bookmarkStart w:id="38" w:name="modelo-estadístico"/>
    <w:p>
      <w:pPr>
        <w:pStyle w:val="Heading1"/>
      </w:pPr>
      <w:r>
        <w:t xml:space="preserve">4. Modelo estadístico</w:t>
      </w:r>
    </w:p>
    <w:bookmarkStart w:id="33" w:name="modelo-de-muestreo"/>
    <w:p>
      <w:pPr>
        <w:pStyle w:val="Heading2"/>
      </w:pPr>
      <w:r>
        <w:t xml:space="preserve">4.1 Modelo de muestreo</w:t>
      </w:r>
    </w:p>
    <w:p>
      <w:pPr>
        <w:pStyle w:val="FirstParagraph"/>
      </w:pPr>
      <w:r>
        <w:t xml:space="preserve">Condicional a las proporciones verdaderas</w:t>
      </w:r>
      <w:r>
        <w:t xml:space="preserve"> </w:t>
      </w:r>
      <m:oMath>
        <m:sSub>
          <m:e>
            <m:r>
              <m:rPr>
                <m:sty m:val="b"/>
              </m:rPr>
              <m:t>θ</m:t>
            </m:r>
          </m:e>
          <m:sub>
            <m:r>
              <m:t>d</m:t>
            </m:r>
          </m:sub>
        </m:sSub>
      </m:oMath>
      <w:r>
        <w:t xml:space="preserve">, se asume que los conteos muestrales siguen una distribución multinomial:</w:t>
      </w:r>
    </w:p>
    <w:p>
      <w:pPr>
        <w:pStyle w:val="BodyText"/>
      </w:pPr>
      <w:bookmarkStart w:id="32" w:name="eq-0"/>
      <m:oMathPara>
        <m:oMathParaPr>
          <m:jc m:val="center"/>
        </m:oMathParaPr>
        <m:oMath>
          <m:sSub>
            <m:e>
              <m:r>
                <m:rPr>
                  <m:sty m:val="b"/>
                </m:rPr>
                <m:t>y</m:t>
              </m:r>
            </m:e>
            <m:sub>
              <m:r>
                <m:t>d</m:t>
              </m:r>
            </m:sub>
          </m:sSub>
          <m:r>
            <m:rPr>
              <m:sty m:val="p"/>
            </m:rPr>
            <m:t>∣</m:t>
          </m:r>
          <m:sSub>
            <m:e>
              <m:r>
                <m:rPr>
                  <m:sty m:val="b"/>
                </m:rPr>
                <m:t>θ</m:t>
              </m:r>
            </m:e>
            <m:sub>
              <m:r>
                <m:t>d</m:t>
              </m:r>
            </m:sub>
          </m:sSub>
          <m:r>
            <m:rPr>
              <m:sty m:val="p"/>
            </m:rPr>
            <m:t>∼</m:t>
          </m:r>
          <m:r>
            <m:rPr>
              <m:nor/>
              <m:sty m:val="p"/>
            </m:rPr>
            <m:t>Multinomial</m:t>
          </m:r>
          <m:d>
            <m:dPr>
              <m:begChr m:val="("/>
              <m:sepChr m:val=""/>
              <m:endChr m:val=")"/>
              <m:grow/>
            </m:dPr>
            <m:e>
              <m:sSub>
                <m:e>
                  <m:r>
                    <m:t>n</m:t>
                  </m:r>
                </m:e>
                <m:sub>
                  <m:r>
                    <m:t>d</m:t>
                  </m:r>
                </m:sub>
              </m:sSub>
              <m:r>
                <m:rPr>
                  <m:sty m:val="p"/>
                </m:rPr>
                <m:t>,</m:t>
              </m:r>
              <m:sSub>
                <m:e>
                  <m:r>
                    <m:rPr>
                      <m:sty m:val="b"/>
                    </m:rPr>
                    <m:t>θ</m:t>
                  </m:r>
                </m:e>
                <m:sub>
                  <m:r>
                    <m:t>d</m:t>
                  </m:r>
                </m:sub>
              </m:sSub>
            </m:e>
          </m:d>
          <m:r>
            <m:rPr>
              <m:sty m:val="p"/>
            </m:rPr>
            <m:t>.</m:t>
          </m:r>
          <m:r>
            <m:t>  </m:t>
          </m:r>
          <m:d>
            <m:dPr>
              <m:begChr m:val="("/>
              <m:sepChr m:val=""/>
              <m:endChr m:val=")"/>
              <m:grow/>
            </m:dPr>
            <m:e>
              <m:r>
                <m:t>1</m:t>
              </m:r>
            </m:e>
          </m:d>
        </m:oMath>
      </m:oMathPara>
      <w:bookmarkEnd w:id="32"/>
    </w:p>
    <w:bookmarkEnd w:id="33"/>
    <w:bookmarkStart w:id="35" w:name="modelo-estructural"/>
    <w:p>
      <w:pPr>
        <w:pStyle w:val="Heading2"/>
      </w:pPr>
      <w:r>
        <w:t xml:space="preserve">4.2 Modelo estructural</w:t>
      </w:r>
    </w:p>
    <w:p>
      <w:pPr>
        <w:pStyle w:val="FirstParagraph"/>
      </w:pPr>
      <w:r>
        <w:t xml:space="preserve">Se adopta un modelo multinomial logit, tomando como categoría de referencia</w:t>
      </w:r>
      <w:r>
        <w:t xml:space="preserve"> </w:t>
      </w:r>
      <m:oMath>
        <m:r>
          <m:t>k</m:t>
        </m:r>
        <m:r>
          <m:rPr>
            <m:sty m:val="p"/>
          </m:rPr>
          <m:t>=</m:t>
        </m:r>
        <m:r>
          <m:t>3</m:t>
        </m:r>
      </m:oMath>
      <w:r>
        <w:t xml:space="preserve"> </w:t>
      </w:r>
      <w:r>
        <w:t xml:space="preserve">(inactivos). Para</w:t>
      </w:r>
      <w:r>
        <w:t xml:space="preserve"> </w:t>
      </w:r>
      <m:oMath>
        <m:r>
          <m:t>k</m:t>
        </m:r>
        <m:r>
          <m:rPr>
            <m:sty m:val="p"/>
          </m:rPr>
          <m:t>=</m:t>
        </m:r>
        <m:r>
          <m:t>1</m:t>
        </m:r>
        <m:r>
          <m:rPr>
            <m:sty m:val="p"/>
          </m:rPr>
          <m:t>,</m:t>
        </m:r>
        <m:r>
          <m:t>2</m:t>
        </m:r>
      </m:oMath>
      <w:r>
        <w:t xml:space="preserve">:</w:t>
      </w:r>
    </w:p>
    <w:p>
      <w:pPr>
        <w:pStyle w:val="BodyText"/>
      </w:pPr>
      <w:bookmarkStart w:id="34" w:name="eq-1"/>
      <m:oMathPara>
        <m:oMathParaPr>
          <m:jc m:val="center"/>
        </m:oMathParaPr>
        <m:oMath>
          <m:r>
            <m:rPr>
              <m:sty m:val="p"/>
            </m:rPr>
            <m:t>log</m:t>
          </m:r>
          <m:d>
            <m:dPr>
              <m:begChr m:val="("/>
              <m:sepChr m:val=""/>
              <m:endChr m:val=")"/>
              <m:grow/>
            </m:dPr>
            <m:e>
              <m:f>
                <m:fPr>
                  <m:type m:val="bar"/>
                </m:fPr>
                <m:num>
                  <m:sSub>
                    <m:e>
                      <m:r>
                        <m:t>θ</m:t>
                      </m:r>
                    </m:e>
                    <m:sub>
                      <m:r>
                        <m:t>d</m:t>
                      </m:r>
                      <m:r>
                        <m:t>k</m:t>
                      </m:r>
                    </m:sub>
                  </m:sSub>
                </m:num>
                <m:den>
                  <m:sSub>
                    <m:e>
                      <m:r>
                        <m:t>θ</m:t>
                      </m:r>
                    </m:e>
                    <m:sub>
                      <m:r>
                        <m:t>d</m:t>
                      </m:r>
                      <m:r>
                        <m:t>3</m:t>
                      </m:r>
                    </m:sub>
                  </m:sSub>
                </m:den>
              </m:f>
            </m:e>
          </m:d>
          <m:r>
            <m:rPr>
              <m:sty m:val="p"/>
            </m:rPr>
            <m:t>=</m:t>
          </m:r>
          <m:sSubSup>
            <m:e>
              <m:r>
                <m:rPr>
                  <m:sty m:val="b"/>
                </m:rPr>
                <m:t>x</m:t>
              </m:r>
            </m:e>
            <m:sub>
              <m:r>
                <m:t>d</m:t>
              </m:r>
            </m:sub>
            <m:sup>
              <m:r>
                <m:rPr>
                  <m:sty m:val="p"/>
                </m:rPr>
                <m:t>⊤</m:t>
              </m:r>
            </m:sup>
          </m:sSubSup>
          <m:sSub>
            <m:e>
              <m:r>
                <m:rPr>
                  <m:sty m:val="b"/>
                </m:rPr>
                <m:t>β</m:t>
              </m:r>
            </m:e>
            <m:sub>
              <m:r>
                <m:t>k</m:t>
              </m:r>
            </m:sub>
          </m:sSub>
          <m:r>
            <m:rPr>
              <m:sty m:val="p"/>
            </m:rPr>
            <m:t>+</m:t>
          </m:r>
          <m:sSub>
            <m:e>
              <m:r>
                <m:t>u</m:t>
              </m:r>
            </m:e>
            <m:sub>
              <m:r>
                <m:t>d</m:t>
              </m:r>
              <m:r>
                <m:t>k</m:t>
              </m:r>
            </m:sub>
          </m:sSub>
          <m:r>
            <m:rPr>
              <m:sty m:val="p"/>
            </m:rPr>
            <m:t>,</m:t>
          </m:r>
          <m:r>
            <m:t> </m:t>
          </m:r>
          <m:r>
            <m:t>k</m:t>
          </m:r>
          <m:r>
            <m:rPr>
              <m:sty m:val="p"/>
            </m:rPr>
            <m:t>=</m:t>
          </m:r>
          <m:r>
            <m:t>1</m:t>
          </m:r>
          <m:r>
            <m:rPr>
              <m:sty m:val="p"/>
            </m:rPr>
            <m:t>,</m:t>
          </m:r>
          <m:r>
            <m:t>2</m:t>
          </m:r>
          <m:r>
            <m:t>  </m:t>
          </m:r>
          <m:d>
            <m:dPr>
              <m:begChr m:val="("/>
              <m:sepChr m:val=""/>
              <m:endChr m:val=")"/>
              <m:grow/>
            </m:dPr>
            <m:e>
              <m:r>
                <m:t>2</m:t>
              </m:r>
            </m:e>
          </m:d>
        </m:oMath>
      </m:oMathPara>
      <w:bookmarkEnd w:id="34"/>
    </w:p>
    <w:p>
      <w:pPr>
        <w:pStyle w:val="FirstParagraph"/>
      </w:pPr>
      <w:r>
        <w:t xml:space="preserve">donde</w:t>
      </w:r>
      <w:r>
        <w:t xml:space="preserve"> </w:t>
      </w:r>
      <m:oMath>
        <m:sSub>
          <m:e>
            <m:r>
              <m:rPr>
                <m:sty m:val="b"/>
              </m:rPr>
              <m:t>β</m:t>
            </m:r>
          </m:e>
          <m:sub>
            <m:r>
              <m:t>k</m:t>
            </m:r>
          </m:sub>
        </m:sSub>
      </m:oMath>
      <w:r>
        <w:t xml:space="preserve"> </w:t>
      </w:r>
      <w:r>
        <w:t xml:space="preserve">es un vector de coeficientes fijos y</w:t>
      </w:r>
      <w:r>
        <w:t xml:space="preserve"> </w:t>
      </w:r>
      <m:oMath>
        <m:sSub>
          <m:e>
            <m:r>
              <m:t>u</m:t>
            </m:r>
          </m:e>
          <m:sub>
            <m:r>
              <m:t>d</m:t>
            </m:r>
            <m:r>
              <m:t>k</m:t>
            </m:r>
          </m:sub>
        </m:sSub>
      </m:oMath>
      <w:r>
        <w:t xml:space="preserve"> </w:t>
      </w:r>
      <w:r>
        <w:t xml:space="preserve">corresponde a un efecto aleatorio comunal.</w:t>
      </w:r>
    </w:p>
    <w:bookmarkEnd w:id="35"/>
    <w:bookmarkStart w:id="37" w:name="efectos-aleatorios"/>
    <w:p>
      <w:pPr>
        <w:pStyle w:val="Heading2"/>
      </w:pPr>
      <w:r>
        <w:t xml:space="preserve">4.3 Efectos aleatorios</w:t>
      </w:r>
    </w:p>
    <w:p>
      <w:pPr>
        <w:pStyle w:val="FirstParagraph"/>
      </w:pPr>
      <w:r>
        <w:t xml:space="preserve">Los efectos aleatorios se modelan como:</w:t>
      </w:r>
    </w:p>
    <w:p>
      <w:pPr>
        <w:pStyle w:val="BodyText"/>
      </w:pPr>
      <w:bookmarkStart w:id="36" w:name="eq-2"/>
      <m:oMathPara>
        <m:oMathParaPr>
          <m:jc m:val="center"/>
        </m:oMathParaPr>
        <m:oMath>
          <m:sSub>
            <m:e>
              <m:r>
                <m:t>u</m:t>
              </m:r>
            </m:e>
            <m:sub>
              <m:r>
                <m:t>d</m:t>
              </m:r>
              <m:r>
                <m:t>k</m:t>
              </m:r>
            </m:sub>
          </m:sSub>
          <m:r>
            <m:rPr>
              <m:sty m:val="p"/>
            </m:rPr>
            <m:t>∼</m:t>
          </m:r>
          <m:r>
            <m:rPr>
              <m:sty m:val="p"/>
              <m:scr m:val="script"/>
            </m:rPr>
            <m:t>N</m:t>
          </m:r>
          <m:d>
            <m:dPr>
              <m:begChr m:val="("/>
              <m:sepChr m:val=""/>
              <m:endChr m:val=")"/>
              <m:grow/>
            </m:dPr>
            <m:e>
              <m:r>
                <m:t>0</m:t>
              </m:r>
              <m:r>
                <m:rPr>
                  <m:sty m:val="p"/>
                </m:rPr>
                <m:t>,</m:t>
              </m:r>
              <m:sSubSup>
                <m:e>
                  <m:r>
                    <m:t>σ</m:t>
                  </m:r>
                </m:e>
                <m:sub>
                  <m:r>
                    <m:t>k</m:t>
                  </m:r>
                </m:sub>
                <m:sup>
                  <m:r>
                    <m:t>2</m:t>
                  </m:r>
                </m:sup>
              </m:sSubSup>
            </m:e>
          </m:d>
          <m:r>
            <m:rPr>
              <m:sty m:val="p"/>
            </m:rPr>
            <m:t>,</m:t>
          </m:r>
          <m:r>
            <m:t>  </m:t>
          </m:r>
          <m:d>
            <m:dPr>
              <m:begChr m:val="("/>
              <m:sepChr m:val=""/>
              <m:endChr m:val=")"/>
              <m:grow/>
            </m:dPr>
            <m:e>
              <m:r>
                <m:t>3</m:t>
              </m:r>
            </m:e>
          </m:d>
        </m:oMath>
      </m:oMathPara>
      <w:bookmarkEnd w:id="36"/>
    </w:p>
    <w:p>
      <w:pPr>
        <w:pStyle w:val="FirstParagraph"/>
      </w:pPr>
      <w:r>
        <w:t xml:space="preserve">asumiendo independencia entre comunas.</w:t>
      </w:r>
    </w:p>
    <w:bookmarkEnd w:id="37"/>
    <w:bookmarkEnd w:id="38"/>
    <w:bookmarkStart w:id="42" w:name="inferencia-bayesiana"/>
    <w:p>
      <w:pPr>
        <w:pStyle w:val="Heading1"/>
      </w:pPr>
      <w:r>
        <w:t xml:space="preserve">5. Inferencia bayesiana</w:t>
      </w:r>
    </w:p>
    <w:bookmarkStart w:id="40" w:name="priori"/>
    <w:p>
      <w:pPr>
        <w:pStyle w:val="Heading2"/>
      </w:pPr>
      <w:r>
        <w:t xml:space="preserve">5.1 Priori</w:t>
      </w:r>
    </w:p>
    <w:p>
      <w:pPr>
        <w:pStyle w:val="FirstParagraph"/>
      </w:pPr>
      <w:r>
        <w:t xml:space="preserve">Se especifican distribuciones a priori débiles para los parámetros del modelo:</w:t>
      </w:r>
    </w:p>
    <w:p>
      <w:pPr>
        <w:pStyle w:val="BodyText"/>
      </w:pPr>
      <w:bookmarkStart w:id="39" w:name="eq-3"/>
      <m:oMathPara>
        <m:oMathParaPr>
          <m:jc m:val="center"/>
        </m:oMathParaPr>
        <m:oMath>
          <m:sSub>
            <m:e>
              <m:r>
                <m:rPr>
                  <m:sty m:val="b"/>
                </m:rPr>
                <m:t>β</m:t>
              </m:r>
            </m:e>
            <m:sub>
              <m:r>
                <m:t>k</m:t>
              </m:r>
            </m:sub>
          </m:sSub>
          <m:r>
            <m:rPr>
              <m:sty m:val="p"/>
            </m:rPr>
            <m:t>∼</m:t>
          </m:r>
          <m:r>
            <m:rPr>
              <m:sty m:val="p"/>
              <m:scr m:val="script"/>
            </m:rPr>
            <m:t>N</m:t>
          </m:r>
          <m:d>
            <m:dPr>
              <m:begChr m:val="("/>
              <m:sepChr m:val=""/>
              <m:endChr m:val=")"/>
              <m:grow/>
            </m:dPr>
            <m:e>
              <m:r>
                <m:t>0</m:t>
              </m:r>
              <m:r>
                <m:rPr>
                  <m:sty m:val="p"/>
                </m:rPr>
                <m:t>,</m:t>
              </m:r>
              <m:sSup>
                <m:e>
                  <m:r>
                    <m:t>τ</m:t>
                  </m:r>
                </m:e>
                <m:sup>
                  <m:r>
                    <m:t>2</m:t>
                  </m:r>
                </m:sup>
              </m:sSup>
              <m:r>
                <m:t>I</m:t>
              </m:r>
            </m:e>
          </m:d>
          <m:r>
            <m:rPr>
              <m:sty m:val="p"/>
            </m:rPr>
            <m:t>,</m:t>
          </m:r>
          <m:r>
            <m:t>  </m:t>
          </m:r>
          <m:sSub>
            <m:e>
              <m:r>
                <m:t>σ</m:t>
              </m:r>
            </m:e>
            <m:sub>
              <m:r>
                <m:t>k</m:t>
              </m:r>
            </m:sub>
          </m:sSub>
          <m:r>
            <m:rPr>
              <m:sty m:val="p"/>
            </m:rPr>
            <m:t>∼</m:t>
          </m:r>
          <m:r>
            <m:rPr>
              <m:nor/>
              <m:sty m:val="p"/>
            </m:rPr>
            <m:t>Half-Cauchy</m:t>
          </m:r>
          <m:d>
            <m:dPr>
              <m:begChr m:val="("/>
              <m:sepChr m:val=""/>
              <m:endChr m:val=")"/>
              <m:grow/>
            </m:dPr>
            <m:e>
              <m:r>
                <m:t>0</m:t>
              </m:r>
              <m:r>
                <m:rPr>
                  <m:sty m:val="p"/>
                </m:rPr>
                <m:t>,</m:t>
              </m:r>
              <m:r>
                <m:t>A</m:t>
              </m:r>
            </m:e>
          </m:d>
          <m:r>
            <m:rPr>
              <m:sty m:val="p"/>
            </m:rPr>
            <m:t>.</m:t>
          </m:r>
          <m:r>
            <m:t>  </m:t>
          </m:r>
          <m:d>
            <m:dPr>
              <m:begChr m:val="("/>
              <m:sepChr m:val=""/>
              <m:endChr m:val=")"/>
              <m:grow/>
            </m:dPr>
            <m:e>
              <m:r>
                <m:t>4</m:t>
              </m:r>
            </m:e>
          </m:d>
        </m:oMath>
      </m:oMathPara>
      <w:bookmarkEnd w:id="39"/>
    </w:p>
    <w:bookmarkEnd w:id="40"/>
    <w:bookmarkStart w:id="41" w:name="estimación"/>
    <w:p>
      <w:pPr>
        <w:pStyle w:val="Heading2"/>
      </w:pPr>
      <w:r>
        <w:t xml:space="preserve">5.2 Estimación</w:t>
      </w:r>
    </w:p>
    <w:p>
      <w:pPr>
        <w:pStyle w:val="FirstParagraph"/>
      </w:pPr>
      <w:r>
        <w:t xml:space="preserve">La inferencia se realiza mediante simulación MCMC, obteniendo muestras de la distribución posterior de los parámetros y de las proporciones comunales.</w:t>
      </w:r>
    </w:p>
    <w:bookmarkEnd w:id="41"/>
    <w:bookmarkEnd w:id="42"/>
    <w:bookmarkStart w:id="46" w:name="resultados"/>
    <w:p>
      <w:pPr>
        <w:pStyle w:val="Heading1"/>
      </w:pPr>
      <w:r>
        <w:t xml:space="preserve">6. Resultados</w:t>
      </w:r>
    </w:p>
    <w:bookmarkStart w:id="44" w:name="estimaciones-comunales"/>
    <w:p>
      <w:pPr>
        <w:pStyle w:val="Heading2"/>
      </w:pPr>
      <w:r>
        <w:t xml:space="preserve">6.1 Estimaciones comunales</w:t>
      </w:r>
    </w:p>
    <w:p>
      <w:pPr>
        <w:pStyle w:val="FirstParagraph"/>
      </w:pPr>
      <w:r>
        <w:t xml:space="preserve">La tasa de desocupación comunal se define como:</w:t>
      </w:r>
    </w:p>
    <w:p>
      <w:pPr>
        <w:pStyle w:val="BodyText"/>
      </w:pPr>
      <w:bookmarkStart w:id="43" w:name="eq-4"/>
      <m:oMathPara>
        <m:oMathParaPr>
          <m:jc m:val="center"/>
        </m:oMathParaPr>
        <m:oMath>
          <m:r>
            <m:t>T</m:t>
          </m:r>
          <m:sSub>
            <m:e>
              <m:r>
                <m:t>D</m:t>
              </m:r>
            </m:e>
            <m:sub>
              <m:r>
                <m:t>d</m:t>
              </m:r>
            </m:sub>
          </m:sSub>
          <m:r>
            <m:rPr>
              <m:sty m:val="p"/>
            </m:rPr>
            <m:t>=</m:t>
          </m:r>
          <m:sSub>
            <m:e>
              <m:r>
                <m:t>θ</m:t>
              </m:r>
            </m:e>
            <m:sub>
              <m:r>
                <m:t>d</m:t>
              </m:r>
              <m:r>
                <m:t>2</m:t>
              </m:r>
            </m:sub>
          </m:sSub>
          <m:r>
            <m:rPr>
              <m:sty m:val="p"/>
            </m:rPr>
            <m:t>.</m:t>
          </m:r>
          <m:r>
            <m:t>  </m:t>
          </m:r>
          <m:d>
            <m:dPr>
              <m:begChr m:val="("/>
              <m:sepChr m:val=""/>
              <m:endChr m:val=")"/>
              <m:grow/>
            </m:dPr>
            <m:e>
              <m:r>
                <m:t>5</m:t>
              </m:r>
            </m:e>
          </m:d>
        </m:oMath>
      </m:oMathPara>
      <w:bookmarkEnd w:id="43"/>
    </w:p>
    <w:p>
      <w:pPr>
        <w:pStyle w:val="FirstParagraph"/>
      </w:pPr>
      <w:r>
        <w:t xml:space="preserve">Se reportan estimaciones puntuales posteriores y intervalos de credibilidad al 95%.</w:t>
      </w:r>
    </w:p>
    <w:bookmarkEnd w:id="44"/>
    <w:bookmarkStart w:id="45" w:name="comparación-con-estimación-directa"/>
    <w:p>
      <w:pPr>
        <w:pStyle w:val="Heading2"/>
      </w:pPr>
      <w:r>
        <w:t xml:space="preserve">6.2 Comparación con estimación directa</w:t>
      </w:r>
    </w:p>
    <w:p>
      <w:pPr>
        <w:pStyle w:val="FirstParagraph"/>
      </w:pPr>
      <w:r>
        <w:t xml:space="preserve">Las estimaciones SAE se comparan con los estimadores directos en términos de precisión y estabilidad.</w:t>
      </w:r>
    </w:p>
    <w:bookmarkEnd w:id="45"/>
    <w:bookmarkEnd w:id="46"/>
    <w:bookmarkStart w:id="47" w:name="conclusiones"/>
    <w:p>
      <w:pPr>
        <w:pStyle w:val="Heading1"/>
      </w:pPr>
      <w:r>
        <w:t xml:space="preserve">7. Conclusiones</w:t>
      </w:r>
    </w:p>
    <w:p>
      <w:pPr>
        <w:pStyle w:val="FirstParagraph"/>
      </w:pPr>
      <w:r>
        <w:t xml:space="preserve">La aplicación del modelo bayesiano multinomial SAE permite obtener estimaciones comunales más precisas y coherentes de la tasa de desocupación, constituyendo una herramienta robusta para la producción estadística oficial.</w:t>
      </w:r>
    </w:p>
    <w:bookmarkEnd w:id="47"/>
    <w:bookmarkStart w:id="56" w:name="resultados-visuales"/>
    <w:p>
      <w:pPr>
        <w:pStyle w:val="Heading1"/>
      </w:pPr>
      <w:r>
        <w:t xml:space="preserve">8. Resultados Visuales</w:t>
      </w:r>
    </w:p>
    <w:p>
      <w:pPr>
        <w:pStyle w:val="FirstParagraph"/>
      </w:pPr>
      <w:r>
        <w:t xml:space="preserve">A continuación, se presenta la distribución de la tasa de desocupación. Como se observa en la</w:t>
      </w:r>
      <w:r>
        <w:t xml:space="preserve"> </w:t>
      </w:r>
      <w:hyperlink w:anchor="fig-1">
        <w:r>
          <w:rPr>
            <w:rStyle w:val="Hyperlink"/>
          </w:rPr>
          <w:t xml:space="preserve">Figura 1</w:t>
        </w:r>
      </w:hyperlink>
      <w:r>
        <w:t xml:space="preserve">, las variaciones espaciales son significativas.</w:t>
      </w:r>
    </w:p>
    <w:tbl>
      <w:tblPr>
        <w:tblStyle w:val="Table"/>
        <w:tblW w:type="pct" w:w="5000"/>
        <w:tblLayout w:type="fixed"/>
        <w:tblLook w:firstRow="0" w:lastRow="0" w:firstColumn="0" w:lastColumn="0" w:noHBand="0" w:noVBand="0" w:val="0000"/>
      </w:tblPr>
      <w:tblGrid>
        <w:gridCol w:w="7920"/>
      </w:tblGrid>
      <w:tr>
        <w:tc>
          <w:tcPr/>
          <w:bookmarkStart w:id="51" w:name="fig-1"/>
          <w:p>
            <w:pPr>
              <w:pStyle w:val="Compact"/>
              <w:jc w:val="center"/>
            </w:pPr>
            <w:r>
              <w:drawing>
                <wp:inline>
                  <wp:extent cx="4000500" cy="1662129"/>
                  <wp:effectExtent b="0" l="0" r="0" t="0"/>
                  <wp:docPr descr="" title="" id="49" name="Picture"/>
                  <a:graphic>
                    <a:graphicData uri="http://schemas.openxmlformats.org/drawingml/2006/picture">
                      <pic:pic>
                        <pic:nvPicPr>
                          <pic:cNvPr descr="graficos/g1.png" id="50" name="Picture"/>
                          <pic:cNvPicPr>
                            <a:picLocks noChangeArrowheads="1" noChangeAspect="1"/>
                          </pic:cNvPicPr>
                        </pic:nvPicPr>
                        <pic:blipFill>
                          <a:blip r:embed="rId48"/>
                          <a:stretch>
                            <a:fillRect/>
                          </a:stretch>
                        </pic:blipFill>
                        <pic:spPr bwMode="auto">
                          <a:xfrm>
                            <a:off x="0" y="0"/>
                            <a:ext cx="4000500" cy="1662129"/>
                          </a:xfrm>
                          <a:prstGeom prst="rect">
                            <a:avLst/>
                          </a:prstGeom>
                          <a:noFill/>
                          <a:ln w="9525">
                            <a:noFill/>
                            <a:headEnd/>
                            <a:tailEnd/>
                          </a:ln>
                        </pic:spPr>
                      </pic:pic>
                    </a:graphicData>
                  </a:graphic>
                </wp:inline>
              </w:drawing>
            </w:r>
          </w:p>
          <w:p>
            <w:pPr>
              <w:jc w:val="center"/>
            </w:pPr>
            <w:pPr>
              <w:jc w:val="start"/>
              <w:spacing w:before="200"/>
              <w:pStyle w:val="ImageCaption"/>
            </w:pPr>
            <w:r>
              <w:t xml:space="preserve">Figura 1: Comparación SAE vs. Directa</w:t>
            </w:r>
          </w:p>
          <w:bookmarkEnd w:id="51"/>
        </w:tc>
      </w:tr>
    </w:tbl>
    <w:tbl>
      <w:tblPr>
        <w:tblStyle w:val="Table"/>
        <w:tblW w:type="pct" w:w="5000"/>
        <w:tblLayout w:type="fixed"/>
        <w:tblLook w:firstRow="0" w:lastRow="0" w:firstColumn="0" w:lastColumn="0" w:noHBand="0" w:noVBand="0" w:val="0000"/>
      </w:tblPr>
      <w:tblGrid>
        <w:gridCol w:w="7920"/>
      </w:tblGrid>
      <w:tr>
        <w:tc>
          <w:tcPr/>
          <w:bookmarkStart w:id="55" w:name="fig-2"/>
          <w:p>
            <w:pPr>
              <w:pStyle w:val="Compact"/>
              <w:jc w:val="center"/>
            </w:pPr>
            <w:r>
              <w:drawing>
                <wp:inline>
                  <wp:extent cx="4000500" cy="2370666"/>
                  <wp:effectExtent b="0" l="0" r="0" t="0"/>
                  <wp:docPr descr="" title="" id="53" name="Picture"/>
                  <a:graphic>
                    <a:graphicData uri="http://schemas.openxmlformats.org/drawingml/2006/picture">
                      <pic:pic>
                        <pic:nvPicPr>
                          <pic:cNvPr descr="graficos/g2.png" id="54" name="Picture"/>
                          <pic:cNvPicPr>
                            <a:picLocks noChangeArrowheads="1" noChangeAspect="1"/>
                          </pic:cNvPicPr>
                        </pic:nvPicPr>
                        <pic:blipFill>
                          <a:blip r:embed="rId52"/>
                          <a:stretch>
                            <a:fillRect/>
                          </a:stretch>
                        </pic:blipFill>
                        <pic:spPr bwMode="auto">
                          <a:xfrm>
                            <a:off x="0" y="0"/>
                            <a:ext cx="4000500" cy="2370666"/>
                          </a:xfrm>
                          <a:prstGeom prst="rect">
                            <a:avLst/>
                          </a:prstGeom>
                          <a:noFill/>
                          <a:ln w="9525">
                            <a:noFill/>
                            <a:headEnd/>
                            <a:tailEnd/>
                          </a:ln>
                        </pic:spPr>
                      </pic:pic>
                    </a:graphicData>
                  </a:graphic>
                </wp:inline>
              </w:drawing>
            </w:r>
          </w:p>
          <w:p>
            <w:pPr>
              <w:jc w:val="center"/>
            </w:pPr>
            <w:pPr>
              <w:jc w:val="start"/>
              <w:spacing w:before="200"/>
              <w:pStyle w:val="ImageCaption"/>
            </w:pPr>
            <w:r>
              <w:t xml:space="preserve">Figura 2: Evaluación LOO-PIT Q-Q</w:t>
            </w:r>
          </w:p>
          <w:bookmarkEnd w:id="55"/>
        </w:tc>
      </w:tr>
    </w:tbl>
    <w:bookmarkEnd w:id="56"/>
    <w:bookmarkStart w:id="72" w:name="bibliografía"/>
    <w:p>
      <w:pPr>
        <w:pStyle w:val="Heading1"/>
      </w:pPr>
      <w:r>
        <w:t xml:space="preserve">Bibliografía</w:t>
      </w:r>
    </w:p>
    <w:bookmarkStart w:id="71" w:name="refs"/>
    <w:bookmarkStart w:id="57" w:name="ref-Besag1995StatSci"/>
    <w:p>
      <w:pPr>
        <w:pStyle w:val="Bibliography"/>
      </w:pPr>
      <w:r>
        <w:t xml:space="preserve">Besag, J., Green, P., Higdon, D., &amp; Mengersen, K. (1995). Bayesian computation and stochastic systems (with discussion).</w:t>
      </w:r>
      <w:r>
        <w:t xml:space="preserve"> </w:t>
      </w:r>
      <w:r>
        <w:rPr>
          <w:i/>
          <w:iCs/>
        </w:rPr>
        <w:t xml:space="preserve">Statistical Science</w:t>
      </w:r>
      <w:r>
        <w:t xml:space="preserve">,</w:t>
      </w:r>
      <w:r>
        <w:t xml:space="preserve"> </w:t>
      </w:r>
      <w:r>
        <w:rPr>
          <w:i/>
          <w:iCs/>
        </w:rPr>
        <w:t xml:space="preserve">10</w:t>
      </w:r>
      <w:r>
        <w:t xml:space="preserve">, 3-66.</w:t>
      </w:r>
    </w:p>
    <w:bookmarkEnd w:id="57"/>
    <w:bookmarkStart w:id="58" w:name="ref-DattaLahiri2000StatSinica"/>
    <w:p>
      <w:pPr>
        <w:pStyle w:val="Bibliography"/>
      </w:pPr>
      <w:r>
        <w:t xml:space="preserve">Datta, G. S., &amp; Lahiri, P. (2000). A unified measure of uncertainty of estimated best linear unbiased predictors in small area estimation problems.</w:t>
      </w:r>
      <w:r>
        <w:t xml:space="preserve"> </w:t>
      </w:r>
      <w:r>
        <w:rPr>
          <w:i/>
          <w:iCs/>
        </w:rPr>
        <w:t xml:space="preserve">Statistica Sinica</w:t>
      </w:r>
      <w:r>
        <w:t xml:space="preserve">,</w:t>
      </w:r>
      <w:r>
        <w:t xml:space="preserve"> </w:t>
      </w:r>
      <w:r>
        <w:rPr>
          <w:i/>
          <w:iCs/>
        </w:rPr>
        <w:t xml:space="preserve">10</w:t>
      </w:r>
      <w:r>
        <w:t xml:space="preserve">, 613-627.</w:t>
      </w:r>
    </w:p>
    <w:bookmarkEnd w:id="58"/>
    <w:bookmarkStart w:id="59" w:name="ref-DattaLahiriMaitiLu1999JASA"/>
    <w:p>
      <w:pPr>
        <w:pStyle w:val="Bibliography"/>
      </w:pPr>
      <w:r>
        <w:t xml:space="preserve">Datta, G. S., Lahiri, P., Maiti, T., &amp; Lu, K.-L. (1999). Hierarchical Bayes estimation of unemployment rates for the states of the U.S.</w:t>
      </w:r>
      <w:r>
        <w:t xml:space="preserve"> </w:t>
      </w:r>
      <w:r>
        <w:rPr>
          <w:i/>
          <w:iCs/>
        </w:rPr>
        <w:t xml:space="preserve">Journal of the American Statistical Association</w:t>
      </w:r>
      <w:r>
        <w:t xml:space="preserve">,</w:t>
      </w:r>
      <w:r>
        <w:t xml:space="preserve"> </w:t>
      </w:r>
      <w:r>
        <w:rPr>
          <w:i/>
          <w:iCs/>
        </w:rPr>
        <w:t xml:space="preserve">94</w:t>
      </w:r>
      <w:r>
        <w:t xml:space="preserve">, 1074-1082.</w:t>
      </w:r>
    </w:p>
    <w:bookmarkEnd w:id="59"/>
    <w:bookmarkStart w:id="60" w:name="ref-FayHerriot1979JASA"/>
    <w:p>
      <w:pPr>
        <w:pStyle w:val="Bibliography"/>
      </w:pPr>
      <w:r>
        <w:t xml:space="preserve">Fay, R. E., &amp; Herriot, R. A. (1979). Estimates of income for small places: An application of James–Stein procedures to census data.</w:t>
      </w:r>
      <w:r>
        <w:t xml:space="preserve"> </w:t>
      </w:r>
      <w:r>
        <w:rPr>
          <w:i/>
          <w:iCs/>
        </w:rPr>
        <w:t xml:space="preserve">Journal of the American Statistical Association</w:t>
      </w:r>
      <w:r>
        <w:t xml:space="preserve">,</w:t>
      </w:r>
      <w:r>
        <w:t xml:space="preserve"> </w:t>
      </w:r>
      <w:r>
        <w:rPr>
          <w:i/>
          <w:iCs/>
        </w:rPr>
        <w:t xml:space="preserve">74</w:t>
      </w:r>
      <w:r>
        <w:t xml:space="preserve">, 269-277.</w:t>
      </w:r>
    </w:p>
    <w:bookmarkEnd w:id="60"/>
    <w:bookmarkStart w:id="61" w:name="ref-GhoshRao1994StatSci"/>
    <w:p>
      <w:pPr>
        <w:pStyle w:val="Bibliography"/>
      </w:pPr>
      <w:r>
        <w:t xml:space="preserve">Ghosh, M., &amp; Rao, J. N. K. (1994). Small area estimation: An appraisal.</w:t>
      </w:r>
      <w:r>
        <w:t xml:space="preserve"> </w:t>
      </w:r>
      <w:r>
        <w:rPr>
          <w:i/>
          <w:iCs/>
        </w:rPr>
        <w:t xml:space="preserve">Statistical Science</w:t>
      </w:r>
      <w:r>
        <w:t xml:space="preserve">,</w:t>
      </w:r>
      <w:r>
        <w:t xml:space="preserve"> </w:t>
      </w:r>
      <w:r>
        <w:rPr>
          <w:i/>
          <w:iCs/>
        </w:rPr>
        <w:t xml:space="preserve">9</w:t>
      </w:r>
      <w:r>
        <w:t xml:space="preserve">, 55-93.</w:t>
      </w:r>
    </w:p>
    <w:bookmarkEnd w:id="61"/>
    <w:bookmarkStart w:id="62" w:name="ref-GilksRichardsonSpiegelhalter1996MCMC"/>
    <w:p>
      <w:pPr>
        <w:pStyle w:val="Bibliography"/>
      </w:pPr>
      <w:r>
        <w:t xml:space="preserve">Gilks, W. R., Richardson, S., &amp; Spiegelhalter, D. J. (Eds.). (1996).</w:t>
      </w:r>
      <w:r>
        <w:t xml:space="preserve"> </w:t>
      </w:r>
      <w:r>
        <w:rPr>
          <w:i/>
          <w:iCs/>
        </w:rPr>
        <w:t xml:space="preserve">Markov Chain Monte Carlo in Practice</w:t>
      </w:r>
      <w:r>
        <w:t xml:space="preserve">. Chapman &amp; Hall.</w:t>
      </w:r>
    </w:p>
    <w:bookmarkEnd w:id="62"/>
    <w:bookmarkStart w:id="63" w:name="ref-Henderson1975Biometrics"/>
    <w:p>
      <w:pPr>
        <w:pStyle w:val="Bibliography"/>
      </w:pPr>
      <w:r>
        <w:t xml:space="preserve">Henderson, C. R. (1975). Best linear unbiased estimation and prediction under a selection model.</w:t>
      </w:r>
      <w:r>
        <w:t xml:space="preserve"> </w:t>
      </w:r>
      <w:r>
        <w:rPr>
          <w:i/>
          <w:iCs/>
        </w:rPr>
        <w:t xml:space="preserve">Biometrics</w:t>
      </w:r>
      <w:r>
        <w:t xml:space="preserve">,</w:t>
      </w:r>
      <w:r>
        <w:t xml:space="preserve"> </w:t>
      </w:r>
      <w:r>
        <w:rPr>
          <w:i/>
          <w:iCs/>
        </w:rPr>
        <w:t xml:space="preserve">31</w:t>
      </w:r>
      <w:r>
        <w:t xml:space="preserve">, 423-447.</w:t>
      </w:r>
    </w:p>
    <w:bookmarkEnd w:id="63"/>
    <w:bookmarkStart w:id="64" w:name="ref-JiangLahiri2006TEST"/>
    <w:p>
      <w:pPr>
        <w:pStyle w:val="Bibliography"/>
      </w:pPr>
      <w:r>
        <w:t xml:space="preserve">Jiang, J., &amp; Lahiri, P. (2006). Mixed Model Prediction and Small Area Estimation.</w:t>
      </w:r>
      <w:r>
        <w:t xml:space="preserve"> </w:t>
      </w:r>
      <w:r>
        <w:rPr>
          <w:i/>
          <w:iCs/>
        </w:rPr>
        <w:t xml:space="preserve">TEST</w:t>
      </w:r>
      <w:r>
        <w:t xml:space="preserve">,</w:t>
      </w:r>
      <w:r>
        <w:t xml:space="preserve"> </w:t>
      </w:r>
      <w:r>
        <w:rPr>
          <w:i/>
          <w:iCs/>
        </w:rPr>
        <w:t xml:space="preserve">15</w:t>
      </w:r>
      <w:r>
        <w:t xml:space="preserve">, 1-96.</w:t>
      </w:r>
    </w:p>
    <w:bookmarkEnd w:id="64"/>
    <w:bookmarkStart w:id="65" w:name="ref-PetrucciPratesiSalvati2005SiT"/>
    <w:p>
      <w:pPr>
        <w:pStyle w:val="Bibliography"/>
      </w:pPr>
      <w:r>
        <w:t xml:space="preserve">Petrucci, A., Pratesi, M., &amp; Salvati, N. (2005). Geographic information in small area estimation: small area models and spatially correlated random area effects.</w:t>
      </w:r>
      <w:r>
        <w:t xml:space="preserve"> </w:t>
      </w:r>
      <w:r>
        <w:rPr>
          <w:i/>
          <w:iCs/>
        </w:rPr>
        <w:t xml:space="preserve">Statistics in Transition</w:t>
      </w:r>
      <w:r>
        <w:t xml:space="preserve">,</w:t>
      </w:r>
      <w:r>
        <w:t xml:space="preserve"> </w:t>
      </w:r>
      <w:r>
        <w:rPr>
          <w:i/>
          <w:iCs/>
        </w:rPr>
        <w:t xml:space="preserve">7</w:t>
      </w:r>
      <w:r>
        <w:t xml:space="preserve">, 609-623.</w:t>
      </w:r>
    </w:p>
    <w:bookmarkEnd w:id="65"/>
    <w:bookmarkStart w:id="66" w:name="ref-Rao2003SAE"/>
    <w:p>
      <w:pPr>
        <w:pStyle w:val="Bibliography"/>
      </w:pPr>
      <w:r>
        <w:t xml:space="preserve">Rao, J. N. K. (2003).</w:t>
      </w:r>
      <w:r>
        <w:t xml:space="preserve"> </w:t>
      </w:r>
      <w:r>
        <w:rPr>
          <w:i/>
          <w:iCs/>
        </w:rPr>
        <w:t xml:space="preserve">Small Area Estimation</w:t>
      </w:r>
      <w:r>
        <w:t xml:space="preserve">. John Wiley &amp; Sons.</w:t>
      </w:r>
    </w:p>
    <w:bookmarkEnd w:id="66"/>
    <w:bookmarkStart w:id="67" w:name="ref-RaoYu1994CJS"/>
    <w:p>
      <w:pPr>
        <w:pStyle w:val="Bibliography"/>
      </w:pPr>
      <w:r>
        <w:t xml:space="preserve">Rao, J. N. K., &amp; Yu, M. (1994). Small-area estimation by combining time-series and cross-sectional data.</w:t>
      </w:r>
      <w:r>
        <w:t xml:space="preserve"> </w:t>
      </w:r>
      <w:r>
        <w:rPr>
          <w:i/>
          <w:iCs/>
        </w:rPr>
        <w:t xml:space="preserve">The Canadian Journal of Statistics</w:t>
      </w:r>
      <w:r>
        <w:t xml:space="preserve">,</w:t>
      </w:r>
      <w:r>
        <w:t xml:space="preserve"> </w:t>
      </w:r>
      <w:r>
        <w:rPr>
          <w:i/>
          <w:iCs/>
        </w:rPr>
        <w:t xml:space="preserve">22</w:t>
      </w:r>
      <w:r>
        <w:t xml:space="preserve">, 511-528.</w:t>
      </w:r>
    </w:p>
    <w:bookmarkEnd w:id="67"/>
    <w:bookmarkStart w:id="68" w:name="ref-You2008SurveyMethodology"/>
    <w:p>
      <w:pPr>
        <w:pStyle w:val="Bibliography"/>
      </w:pPr>
      <w:r>
        <w:t xml:space="preserve">You, Y. (2008). An integrated modeling approach to unemployment rate estimation for sub-provincial areas of Canada.</w:t>
      </w:r>
      <w:r>
        <w:t xml:space="preserve"> </w:t>
      </w:r>
      <w:r>
        <w:rPr>
          <w:i/>
          <w:iCs/>
        </w:rPr>
        <w:t xml:space="preserve">Survey Methodology</w:t>
      </w:r>
      <w:r>
        <w:t xml:space="preserve">,</w:t>
      </w:r>
      <w:r>
        <w:t xml:space="preserve"> </w:t>
      </w:r>
      <w:r>
        <w:rPr>
          <w:i/>
          <w:iCs/>
        </w:rPr>
        <w:t xml:space="preserve">34</w:t>
      </w:r>
      <w:r>
        <w:t xml:space="preserve">, 19-27.</w:t>
      </w:r>
    </w:p>
    <w:bookmarkEnd w:id="68"/>
    <w:bookmarkStart w:id="69" w:name="ref-YouRao2002CJS"/>
    <w:p>
      <w:pPr>
        <w:pStyle w:val="Bibliography"/>
      </w:pPr>
      <w:r>
        <w:t xml:space="preserve">You, Y., &amp; Rao, J. N. K. (2002). Hierarchical small area estimation using unmatched sampling and linking models.</w:t>
      </w:r>
      <w:r>
        <w:t xml:space="preserve"> </w:t>
      </w:r>
      <w:r>
        <w:rPr>
          <w:i/>
          <w:iCs/>
        </w:rPr>
        <w:t xml:space="preserve">The Canadian Journal of Statistics</w:t>
      </w:r>
      <w:r>
        <w:t xml:space="preserve">,</w:t>
      </w:r>
      <w:r>
        <w:t xml:space="preserve"> </w:t>
      </w:r>
      <w:r>
        <w:rPr>
          <w:i/>
          <w:iCs/>
        </w:rPr>
        <w:t xml:space="preserve">30</w:t>
      </w:r>
      <w:r>
        <w:t xml:space="preserve">, 3-15.</w:t>
      </w:r>
    </w:p>
    <w:bookmarkEnd w:id="69"/>
    <w:bookmarkStart w:id="70" w:name="ref-YouRaoGambino2003SurveyMethodology"/>
    <w:p>
      <w:pPr>
        <w:pStyle w:val="Bibliography"/>
      </w:pPr>
      <w:r>
        <w:t xml:space="preserve">You, Y., Rao, J. N. K., &amp; Gambino, J. (2003). Model-based Unemployment Rate Estimation for the Canadian Labour Force Survey: A Hierarchical Bayes Approach.</w:t>
      </w:r>
      <w:r>
        <w:t xml:space="preserve"> </w:t>
      </w:r>
      <w:r>
        <w:rPr>
          <w:i/>
          <w:iCs/>
        </w:rPr>
        <w:t xml:space="preserve">Survey Methodology</w:t>
      </w:r>
      <w:r>
        <w:t xml:space="preserve">,</w:t>
      </w:r>
      <w:r>
        <w:t xml:space="preserve"> </w:t>
      </w:r>
      <w:r>
        <w:rPr>
          <w:i/>
          <w:iCs/>
        </w:rPr>
        <w:t xml:space="preserve">29</w:t>
      </w:r>
      <w:r>
        <w:t xml:space="preserve">, 25-32.</w:t>
      </w:r>
    </w:p>
    <w:bookmarkEnd w:id="70"/>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Estimación de la tasa de desocupación comunal mediante Small Area Estimation Bayesiano</dc:title>
  <dc:creator>Álvaro Krause</dc:creator>
  <dc:language>es</dc:language>
  <cp:keywords/>
  <dcterms:created xsi:type="dcterms:W3CDTF">2026-02-03T12:45:38Z</dcterms:created>
  <dcterms:modified xsi:type="dcterms:W3CDTF">2026-02-03T12:45:38Z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lean">
    <vt:lpwstr>True</vt:lpwstr>
  </property>
  <property fmtid="{D5CDD505-2E9C-101B-9397-08002B2CF9AE}" pid="7" name="csl">
    <vt:lpwstr>apa.csl</vt:lpwstr>
  </property>
  <property fmtid="{D5CDD505-2E9C-101B-9397-08002B2CF9AE}" pid="8" name="date">
    <vt:lpwstr>2026-02-03</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nocite">
    <vt:lpwstr>@*</vt:lpwstr>
  </property>
  <property fmtid="{D5CDD505-2E9C-101B-9397-08002B2CF9AE}" pid="14" name="subtitle">
    <vt:lpwstr>Modelo multinomial logit</vt:lpwstr>
  </property>
  <property fmtid="{D5CDD505-2E9C-101B-9397-08002B2CF9AE}" pid="15" name="toc-title">
    <vt:lpwstr>Tabla de contenidos</vt:lpwstr>
  </property>
</Properties>
</file>