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A16E10" w:rsidRPr="008B0994" w:rsidRDefault="00A16E10" w:rsidP="00A16E10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A16E10" w:rsidRPr="008B0994" w:rsidRDefault="00A16E10" w:rsidP="00A16E10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A16E10" w:rsidRPr="008B0994" w:rsidRDefault="00A16E10" w:rsidP="00A16E10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/>
          <w:sz w:val="24"/>
          <w:szCs w:val="24"/>
        </w:rPr>
        <w:t>MONITÓRIA</w:t>
      </w:r>
      <w:bookmarkStart w:id="1" w:name="_GoBack"/>
      <w:bookmarkEnd w:id="1"/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A16E10" w:rsidRPr="00B84A4E" w:rsidRDefault="00A16E10" w:rsidP="00A16E10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A16E10" w:rsidRPr="008B0994" w:rsidRDefault="00A16E10" w:rsidP="00A16E10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A16E10" w:rsidRDefault="00A16E10" w:rsidP="00371DDE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</w:p>
    <w:p w:rsidR="00371DDE" w:rsidRPr="00DA2E47" w:rsidRDefault="00371DDE" w:rsidP="00371DDE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DA2E47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DA2E47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DA2E47">
        <w:rPr>
          <w:rFonts w:ascii="Garamond" w:hAnsi="Garamond"/>
          <w:color w:val="000000"/>
          <w:sz w:val="24"/>
          <w:szCs w:val="24"/>
        </w:rPr>
        <w:t>.</w:t>
      </w: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DA2E47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71DDE" w:rsidRPr="00DA2E47" w:rsidRDefault="00371DDE" w:rsidP="00371DDE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371DDE" w:rsidRPr="00DA2E47" w:rsidRDefault="00371DDE" w:rsidP="00371DDE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DA2E47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DA2E47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371DDE" w:rsidRPr="00DA2E47" w:rsidRDefault="00371DDE" w:rsidP="00371DDE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371DDE" w:rsidRPr="00DA2E47" w:rsidRDefault="00371DDE" w:rsidP="00371DD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371DDE" w:rsidRPr="00DA2E47" w:rsidRDefault="00371DDE" w:rsidP="00371DDE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DA2E47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DA2E47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DA2E47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371DDE" w:rsidRPr="00DA2E47" w:rsidRDefault="00371DDE" w:rsidP="00371DDE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371DDE" w:rsidRPr="00DA2E47" w:rsidRDefault="00371DDE" w:rsidP="00371DD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371DDE" w:rsidRPr="00DA2E47" w:rsidRDefault="00371DDE" w:rsidP="00371DDE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DA2E47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8D5DAC" w:rsidRPr="00DA2E47" w:rsidRDefault="008D5DAC" w:rsidP="008D5DAC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</w:p>
    <w:bookmarkEnd w:id="0"/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b/>
          <w:bCs/>
        </w:rPr>
        <w:t>I – DOS FATOS</w:t>
      </w:r>
      <w:r w:rsidRPr="00DA2E47">
        <w:rPr>
          <w:rStyle w:val="normaltextrun"/>
        </w:rPr>
        <w:t> 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O Autor é proprietário da empresa denominada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 xml:space="preserve">Galeto </w:t>
      </w:r>
      <w:r w:rsidR="008D5DAC" w:rsidRPr="00DA2E47">
        <w:rPr>
          <w:rStyle w:val="normaltextrun"/>
          <w:rFonts w:ascii="Garamond" w:hAnsi="Garamond" w:cs="Tahoma"/>
        </w:rPr>
        <w:t>...</w:t>
      </w:r>
      <w:r w:rsidRPr="00DA2E47">
        <w:rPr>
          <w:rStyle w:val="normaltextrun"/>
          <w:rFonts w:ascii="Garamond" w:hAnsi="Garamond" w:cs="Tahoma"/>
        </w:rPr>
        <w:t>, localizada na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Av</w:t>
      </w:r>
      <w:r w:rsidR="008D5DAC" w:rsidRPr="00DA2E47">
        <w:rPr>
          <w:rStyle w:val="normaltextrun"/>
          <w:rFonts w:ascii="Garamond" w:hAnsi="Garamond" w:cs="Tahoma"/>
        </w:rPr>
        <w:t>....</w:t>
      </w:r>
      <w:r w:rsidRPr="00DA2E47">
        <w:rPr>
          <w:rStyle w:val="normaltextrun"/>
          <w:rFonts w:ascii="Garamond" w:hAnsi="Garamond" w:cs="Tahoma"/>
        </w:rPr>
        <w:t>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que realiza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serviços na área alimentar.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Ocorre que,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a empresa mencionada recebeu</w:t>
      </w:r>
      <w:r w:rsidRPr="00DA2E47">
        <w:rPr>
          <w:rStyle w:val="apple-converted-space"/>
          <w:rFonts w:ascii="Garamond" w:hAnsi="Garamond" w:cs="Tahoma"/>
        </w:rPr>
        <w:t> </w:t>
      </w:r>
      <w:r w:rsidR="00935E1E" w:rsidRPr="00DA2E47">
        <w:rPr>
          <w:rStyle w:val="normaltextrun"/>
          <w:rFonts w:ascii="Garamond" w:hAnsi="Garamond" w:cs="Tahoma"/>
        </w:rPr>
        <w:t>02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(</w:t>
      </w:r>
      <w:r w:rsidR="00935E1E" w:rsidRPr="00DA2E47">
        <w:rPr>
          <w:rStyle w:val="normaltextrun"/>
          <w:rFonts w:ascii="Garamond" w:hAnsi="Garamond" w:cs="Tahoma"/>
        </w:rPr>
        <w:t>dois</w:t>
      </w:r>
      <w:r w:rsidR="00D00F58" w:rsidRPr="00DA2E47">
        <w:rPr>
          <w:rStyle w:val="normaltextrun"/>
          <w:rFonts w:ascii="Garamond" w:hAnsi="Garamond" w:cs="Tahoma"/>
        </w:rPr>
        <w:t>) cheque</w:t>
      </w:r>
      <w:r w:rsidR="00935E1E" w:rsidRPr="00DA2E47">
        <w:rPr>
          <w:rStyle w:val="normaltextrun"/>
          <w:rFonts w:ascii="Garamond" w:hAnsi="Garamond" w:cs="Tahoma"/>
        </w:rPr>
        <w:t>s</w:t>
      </w:r>
      <w:r w:rsidR="00D00F58" w:rsidRPr="00DA2E47">
        <w:rPr>
          <w:rStyle w:val="normaltextrun"/>
          <w:rFonts w:ascii="Garamond" w:hAnsi="Garamond" w:cs="Tahoma"/>
        </w:rPr>
        <w:t xml:space="preserve"> (cópia</w:t>
      </w:r>
      <w:r w:rsidR="00935E1E" w:rsidRPr="00DA2E47">
        <w:rPr>
          <w:rStyle w:val="normaltextrun"/>
          <w:rFonts w:ascii="Garamond" w:hAnsi="Garamond" w:cs="Tahoma"/>
        </w:rPr>
        <w:t>s</w:t>
      </w:r>
      <w:r w:rsidR="00A40A6C" w:rsidRPr="00DA2E47">
        <w:rPr>
          <w:rStyle w:val="normaltextrun"/>
          <w:rFonts w:ascii="Garamond" w:hAnsi="Garamond" w:cs="Tahoma"/>
        </w:rPr>
        <w:t xml:space="preserve"> em anexo</w:t>
      </w:r>
      <w:r w:rsidR="00935E1E" w:rsidRPr="00DA2E47">
        <w:rPr>
          <w:rStyle w:val="normaltextrun"/>
          <w:rFonts w:ascii="Garamond" w:hAnsi="Garamond" w:cs="Tahoma"/>
        </w:rPr>
        <w:t>s</w:t>
      </w:r>
      <w:r w:rsidR="00A40A6C" w:rsidRPr="00DA2E47">
        <w:rPr>
          <w:rStyle w:val="normaltextrun"/>
          <w:rFonts w:ascii="Garamond" w:hAnsi="Garamond" w:cs="Tahoma"/>
        </w:rPr>
        <w:t>), pré-datado</w:t>
      </w:r>
      <w:r w:rsidR="00935E1E" w:rsidRPr="00DA2E47">
        <w:rPr>
          <w:rStyle w:val="normaltextrun"/>
          <w:rFonts w:ascii="Garamond" w:hAnsi="Garamond" w:cs="Tahoma"/>
        </w:rPr>
        <w:t>s</w:t>
      </w:r>
      <w:r w:rsidRPr="00DA2E47">
        <w:rPr>
          <w:rStyle w:val="normaltextrun"/>
          <w:rFonts w:ascii="Garamond" w:hAnsi="Garamond" w:cs="Tahoma"/>
        </w:rPr>
        <w:t>,</w:t>
      </w:r>
      <w:r w:rsidRPr="00DA2E47">
        <w:rPr>
          <w:rStyle w:val="apple-converted-space"/>
          <w:rFonts w:ascii="Garamond" w:hAnsi="Garamond" w:cs="Tahoma"/>
        </w:rPr>
        <w:t> </w:t>
      </w:r>
      <w:r w:rsidR="00A40A6C" w:rsidRPr="00DA2E47">
        <w:rPr>
          <w:rStyle w:val="normaltextrun"/>
          <w:rFonts w:ascii="Garamond" w:hAnsi="Garamond" w:cs="Tahoma"/>
        </w:rPr>
        <w:t>que soma</w:t>
      </w:r>
      <w:r w:rsidRPr="00DA2E47">
        <w:rPr>
          <w:rStyle w:val="normaltextrun"/>
          <w:rFonts w:ascii="Garamond" w:hAnsi="Garamond" w:cs="Tahoma"/>
        </w:rPr>
        <w:t xml:space="preserve"> a quantia de R$</w:t>
      </w:r>
      <w:r w:rsidRPr="00DA2E47">
        <w:rPr>
          <w:rStyle w:val="apple-converted-space"/>
          <w:rFonts w:ascii="Garamond" w:hAnsi="Garamond" w:cs="Tahoma"/>
        </w:rPr>
        <w:t> </w:t>
      </w:r>
      <w:r w:rsidR="00935E1E" w:rsidRPr="00DA2E47">
        <w:rPr>
          <w:rStyle w:val="normaltextrun"/>
          <w:rFonts w:ascii="Garamond" w:hAnsi="Garamond" w:cs="Tahoma"/>
        </w:rPr>
        <w:t>2</w:t>
      </w:r>
      <w:r w:rsidRPr="00DA2E47">
        <w:rPr>
          <w:rStyle w:val="normaltextrun"/>
          <w:rFonts w:ascii="Garamond" w:hAnsi="Garamond" w:cs="Tahoma"/>
        </w:rPr>
        <w:t>.</w:t>
      </w:r>
      <w:r w:rsidR="00935E1E" w:rsidRPr="00DA2E47">
        <w:rPr>
          <w:rStyle w:val="normaltextrun"/>
          <w:rFonts w:ascii="Garamond" w:hAnsi="Garamond" w:cs="Tahoma"/>
        </w:rPr>
        <w:t>178</w:t>
      </w:r>
      <w:r w:rsidRPr="00DA2E47">
        <w:rPr>
          <w:rStyle w:val="normaltextrun"/>
          <w:rFonts w:ascii="Garamond" w:hAnsi="Garamond" w:cs="Tahoma"/>
        </w:rPr>
        <w:t>,00</w:t>
      </w:r>
      <w:r w:rsidRPr="00DA2E47">
        <w:rPr>
          <w:rStyle w:val="apple-converted-space"/>
          <w:rFonts w:ascii="Garamond" w:hAnsi="Garamond" w:cs="Tahoma"/>
        </w:rPr>
        <w:t> </w:t>
      </w:r>
      <w:r w:rsidR="00935E1E" w:rsidRPr="00DA2E47">
        <w:rPr>
          <w:rStyle w:val="normaltextrun"/>
          <w:rFonts w:ascii="Garamond" w:hAnsi="Garamond" w:cs="Tahoma"/>
        </w:rPr>
        <w:t>(Dois mil cento e setenta e oito</w:t>
      </w:r>
      <w:r w:rsidR="00A40A6C" w:rsidRPr="00DA2E47">
        <w:rPr>
          <w:rStyle w:val="normaltextrun"/>
          <w:rFonts w:ascii="Garamond" w:hAnsi="Garamond" w:cs="Tahoma"/>
        </w:rPr>
        <w:t xml:space="preserve"> reais). Esse cheque, porém, não pode ter sido compensado, haja vista que não possuí</w:t>
      </w:r>
      <w:r w:rsidRPr="00DA2E47">
        <w:rPr>
          <w:rStyle w:val="normaltextrun"/>
          <w:rFonts w:ascii="Garamond" w:hAnsi="Garamond" w:cs="Tahoma"/>
        </w:rPr>
        <w:t xml:space="preserve"> provisão de fundos suficientes para quitar o débito. </w:t>
      </w:r>
      <w:r w:rsidRPr="00DA2E47">
        <w:rPr>
          <w:rStyle w:val="normaltextrun"/>
        </w:rPr>
        <w:t>  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 xml:space="preserve">Hoje, a dívida corrigida monetariamente </w:t>
      </w:r>
      <w:r w:rsidR="00A40A6C" w:rsidRPr="00DA2E47">
        <w:rPr>
          <w:rStyle w:val="normaltextrun"/>
          <w:rFonts w:ascii="Garamond" w:hAnsi="Garamond" w:cs="Tahoma"/>
        </w:rPr>
        <w:t>(doc</w:t>
      </w:r>
      <w:r w:rsidR="00935E1E" w:rsidRPr="00DA2E47">
        <w:rPr>
          <w:rStyle w:val="normaltextrun"/>
          <w:rFonts w:ascii="Garamond" w:hAnsi="Garamond" w:cs="Tahoma"/>
        </w:rPr>
        <w:t>s</w:t>
      </w:r>
      <w:r w:rsidRPr="00DA2E47">
        <w:rPr>
          <w:rStyle w:val="normaltextrun"/>
          <w:rFonts w:ascii="Garamond" w:hAnsi="Garamond" w:cs="Tahoma"/>
        </w:rPr>
        <w:t>.</w:t>
      </w:r>
      <w:r w:rsidRPr="00DA2E47">
        <w:rPr>
          <w:rStyle w:val="apple-converted-space"/>
          <w:rFonts w:ascii="Garamond" w:hAnsi="Garamond" w:cs="Tahoma"/>
        </w:rPr>
        <w:t> </w:t>
      </w:r>
      <w:r w:rsidR="00A40A6C" w:rsidRPr="00DA2E47">
        <w:rPr>
          <w:rStyle w:val="normaltextrun"/>
          <w:rFonts w:ascii="Garamond" w:hAnsi="Garamond" w:cs="Tahoma"/>
        </w:rPr>
        <w:t>anexo</w:t>
      </w:r>
      <w:r w:rsidR="00935E1E" w:rsidRPr="00DA2E47">
        <w:rPr>
          <w:rStyle w:val="normaltextrun"/>
          <w:rFonts w:ascii="Garamond" w:hAnsi="Garamond" w:cs="Tahoma"/>
        </w:rPr>
        <w:t>s</w:t>
      </w:r>
      <w:r w:rsidRPr="00DA2E47">
        <w:rPr>
          <w:rStyle w:val="normaltextrun"/>
          <w:rFonts w:ascii="Garamond" w:hAnsi="Garamond" w:cs="Tahoma"/>
        </w:rPr>
        <w:t>),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corresponde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ao valor de R$</w:t>
      </w:r>
      <w:r w:rsidRPr="00DA2E47">
        <w:rPr>
          <w:rStyle w:val="apple-converted-space"/>
          <w:rFonts w:ascii="Garamond" w:hAnsi="Garamond" w:cs="Tahoma"/>
        </w:rPr>
        <w:t> </w:t>
      </w:r>
      <w:r w:rsidR="00935E1E" w:rsidRPr="00DA2E47">
        <w:rPr>
          <w:rStyle w:val="normaltextrun"/>
          <w:rFonts w:ascii="Garamond" w:hAnsi="Garamond" w:cs="Tahoma"/>
        </w:rPr>
        <w:t>2</w:t>
      </w:r>
      <w:r w:rsidR="00B2208A" w:rsidRPr="00DA2E47">
        <w:rPr>
          <w:rStyle w:val="normaltextrun"/>
          <w:rFonts w:ascii="Garamond" w:hAnsi="Garamond" w:cs="Tahoma"/>
        </w:rPr>
        <w:t>.867,01 (dois mil oitocentos e sessenta e sete reais e um centavo)</w:t>
      </w:r>
      <w:r w:rsidR="00935E1E" w:rsidRPr="00DA2E47">
        <w:rPr>
          <w:rStyle w:val="normaltextrun"/>
          <w:rFonts w:ascii="Garamond" w:hAnsi="Garamond" w:cs="Tahoma"/>
        </w:rPr>
        <w:t>.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Apesar de todo o transtorn</w:t>
      </w:r>
      <w:r w:rsidR="00A40A6C" w:rsidRPr="00DA2E47">
        <w:rPr>
          <w:rStyle w:val="normaltextrun"/>
          <w:rFonts w:ascii="Garamond" w:hAnsi="Garamond" w:cs="Tahoma"/>
        </w:rPr>
        <w:t>o acarretado pelo fato de que o</w:t>
      </w:r>
      <w:r w:rsidR="00935E1E" w:rsidRPr="00DA2E47">
        <w:rPr>
          <w:rStyle w:val="normaltextrun"/>
          <w:rFonts w:ascii="Garamond" w:hAnsi="Garamond" w:cs="Tahoma"/>
        </w:rPr>
        <w:t>s</w:t>
      </w:r>
      <w:r w:rsidR="00A40A6C" w:rsidRPr="00DA2E47">
        <w:rPr>
          <w:rStyle w:val="normaltextrun"/>
          <w:rFonts w:ascii="Garamond" w:hAnsi="Garamond" w:cs="Tahoma"/>
        </w:rPr>
        <w:t xml:space="preserve"> cheque</w:t>
      </w:r>
      <w:r w:rsidR="00935E1E" w:rsidRPr="00DA2E47">
        <w:rPr>
          <w:rStyle w:val="normaltextrun"/>
          <w:rFonts w:ascii="Garamond" w:hAnsi="Garamond" w:cs="Tahoma"/>
        </w:rPr>
        <w:t>s</w:t>
      </w:r>
      <w:r w:rsidR="00A40A6C" w:rsidRPr="00DA2E47">
        <w:rPr>
          <w:rStyle w:val="normaltextrun"/>
          <w:rFonts w:ascii="Garamond" w:hAnsi="Garamond" w:cs="Tahoma"/>
        </w:rPr>
        <w:t xml:space="preserve"> não</w:t>
      </w:r>
      <w:r w:rsidR="00A40A6C" w:rsidRPr="00DA2E47">
        <w:rPr>
          <w:rStyle w:val="apple-converted-space"/>
          <w:rFonts w:ascii="Garamond" w:hAnsi="Garamond" w:cs="Tahoma"/>
        </w:rPr>
        <w:t> </w:t>
      </w:r>
      <w:r w:rsidR="00A40A6C" w:rsidRPr="00DA2E47">
        <w:rPr>
          <w:rStyle w:val="normaltextrun"/>
          <w:rFonts w:ascii="Garamond" w:hAnsi="Garamond" w:cs="Tahoma"/>
        </w:rPr>
        <w:t>ter</w:t>
      </w:r>
      <w:r w:rsidR="00935E1E" w:rsidRPr="00DA2E47">
        <w:rPr>
          <w:rStyle w:val="normaltextrun"/>
          <w:rFonts w:ascii="Garamond" w:hAnsi="Garamond" w:cs="Tahoma"/>
        </w:rPr>
        <w:t>em</w:t>
      </w:r>
      <w:r w:rsidR="00A40A6C" w:rsidRPr="00DA2E47">
        <w:rPr>
          <w:rStyle w:val="normaltextrun"/>
          <w:rFonts w:ascii="Garamond" w:hAnsi="Garamond" w:cs="Tahoma"/>
        </w:rPr>
        <w:t> sido</w:t>
      </w:r>
      <w:r w:rsidR="00935E1E" w:rsidRPr="00DA2E47">
        <w:rPr>
          <w:rStyle w:val="normaltextrun"/>
          <w:rFonts w:ascii="Garamond" w:hAnsi="Garamond" w:cs="Tahoma"/>
        </w:rPr>
        <w:t>s</w:t>
      </w:r>
      <w:r w:rsidR="00A40A6C" w:rsidRPr="00DA2E47">
        <w:rPr>
          <w:rStyle w:val="normaltextrun"/>
          <w:rFonts w:ascii="Garamond" w:hAnsi="Garamond" w:cs="Tahoma"/>
        </w:rPr>
        <w:t xml:space="preserve"> trocado</w:t>
      </w:r>
      <w:r w:rsidR="00935E1E" w:rsidRPr="00DA2E47">
        <w:rPr>
          <w:rStyle w:val="normaltextrun"/>
          <w:rFonts w:ascii="Garamond" w:hAnsi="Garamond" w:cs="Tahoma"/>
        </w:rPr>
        <w:t>s</w:t>
      </w:r>
      <w:r w:rsidRPr="00DA2E47">
        <w:rPr>
          <w:rStyle w:val="normaltextrun"/>
          <w:rFonts w:ascii="Garamond" w:hAnsi="Garamond" w:cs="Tahoma"/>
        </w:rPr>
        <w:t>, o Autor procurou o Réu várias vezes a fim de resolver amigavelmente a questão, respeitando, inclusive, as promessas de pagamento feitas por parte deste.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Ocorreu que, neste ínterim, em decorrência do acúmulo de serviços e mesmo pelo precário conhecimento dos ditames da Lei Comercial por parte do autor, o mesmo perdeu o prazo regular para executar os cheques em ação própria na justiça, pensando ele, inclusive, que os mesmos já sequer poderiam ser compensados. Fato esse in</w:t>
      </w:r>
      <w:r w:rsidR="00A40A6C" w:rsidRPr="00DA2E47">
        <w:rPr>
          <w:rStyle w:val="normaltextrun"/>
          <w:rFonts w:ascii="Garamond" w:hAnsi="Garamond" w:cs="Tahoma"/>
        </w:rPr>
        <w:t xml:space="preserve">verídico, já que a Lei ainda o </w:t>
      </w:r>
      <w:r w:rsidRPr="00DA2E47">
        <w:rPr>
          <w:rStyle w:val="normaltextrun"/>
          <w:rFonts w:ascii="Garamond" w:hAnsi="Garamond" w:cs="Tahoma"/>
        </w:rPr>
        <w:t>ocorre, como veremos adiante.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 xml:space="preserve">Desta forma, restou ao Autor a via Judicial como remédio para ver o seu direito materializado, já que para os prestadores de serviço nada pode ser mais prejudicial à saúde </w:t>
      </w:r>
      <w:r w:rsidRPr="00DA2E47">
        <w:rPr>
          <w:rStyle w:val="normaltextrun"/>
          <w:rFonts w:ascii="Garamond" w:hAnsi="Garamond" w:cs="Tahoma"/>
        </w:rPr>
        <w:lastRenderedPageBreak/>
        <w:t>financeira da empresa e, porque não dizer, saúde física e mental dos próprios empreendedores, prestar tais serviços, demandando horas de trabalho, sem receber o justo valor pela sua empreitada, comprometendo a sua sobrevivência e de seu empreendimento.</w:t>
      </w:r>
      <w:r w:rsidRPr="00DA2E47">
        <w:rPr>
          <w:rStyle w:val="eop"/>
          <w:rFonts w:ascii="Garamond" w:hAnsi="Garamond" w:cs="Tahoma"/>
        </w:rPr>
        <w:t> </w:t>
      </w:r>
      <w:r w:rsidRPr="00DA2E47">
        <w:rPr>
          <w:rStyle w:val="eop"/>
          <w:rFonts w:ascii="Garamond" w:hAnsi="Garamond" w:cs="Segoe UI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b/>
          <w:bCs/>
        </w:rPr>
        <w:t>II – DO DIREITO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DA2E47">
        <w:rPr>
          <w:rStyle w:val="eop"/>
          <w:rFonts w:ascii="Garamond" w:hAnsi="Garamond" w:cs="Segoe UI"/>
        </w:rPr>
        <w:t> </w:t>
      </w:r>
      <w:r w:rsidRPr="00DA2E47">
        <w:rPr>
          <w:rStyle w:val="eop"/>
          <w:rFonts w:ascii="Garamond" w:hAnsi="Garamond" w:cs="Segoe UI"/>
        </w:rPr>
        <w:tab/>
      </w:r>
      <w:r w:rsidRPr="00DA2E47">
        <w:rPr>
          <w:rStyle w:val="normaltextrun"/>
          <w:rFonts w:ascii="Garamond" w:hAnsi="Garamond" w:cs="Tahoma"/>
        </w:rPr>
        <w:t>Aduz o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</w:rPr>
        <w:t>art.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784, inc. I, do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Novo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Código de Processo Civil (NCPC) que o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</w:rPr>
        <w:t>cheque é um título executivo extrajudicial, cujo</w:t>
      </w:r>
      <w:hyperlink r:id="rId6" w:history="1">
        <w:r w:rsidRPr="00DA2E47">
          <w:rPr>
            <w:rStyle w:val="apple-converted-space"/>
            <w:rFonts w:ascii="Garamond" w:hAnsi="Garamond" w:cs="Tahoma"/>
            <w:color w:val="000000"/>
            <w:u w:val="single"/>
          </w:rPr>
          <w:t> </w:t>
        </w:r>
        <w:r w:rsidRPr="00DA2E47">
          <w:rPr>
            <w:rStyle w:val="normaltextrun"/>
            <w:rFonts w:ascii="Garamond" w:hAnsi="Garamond" w:cs="Tahoma"/>
            <w:color w:val="000000"/>
            <w:u w:val="single"/>
          </w:rPr>
          <w:t>prazo prescricional para sua execução é de 06 (seis) meses contados a partir do término dos 30 (trinta) dias para a sua apresentação na praça onde tenha sido emitido</w:t>
        </w:r>
      </w:hyperlink>
      <w:r w:rsidRPr="00DA2E47">
        <w:rPr>
          <w:rStyle w:val="normaltextrun"/>
          <w:rFonts w:ascii="Garamond" w:hAnsi="Garamond" w:cs="Tahoma"/>
          <w:color w:val="000000"/>
        </w:rPr>
        <w:t>, confirme prevê a</w:t>
      </w:r>
      <w:r w:rsidRPr="00DA2E47">
        <w:rPr>
          <w:rStyle w:val="apple-converted-space"/>
          <w:rFonts w:ascii="Garamond" w:hAnsi="Garamond" w:cs="Tahoma"/>
          <w:color w:val="000000"/>
        </w:rPr>
        <w:t> </w:t>
      </w:r>
      <w:r w:rsidRPr="00DA2E47">
        <w:rPr>
          <w:rStyle w:val="normaltextrun"/>
          <w:rFonts w:ascii="Garamond" w:hAnsi="Garamond" w:cs="Tahoma"/>
          <w:color w:val="000000"/>
        </w:rPr>
        <w:t>Lei nº. 7.357/85, nos art. 33 c/c art. 59. Portanto, decorrido esse tempo, o título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perde a sua eficácia.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Entretanto, com o advento da Lei n° 9.079/95, que acrescentou o Cap. XV ao CPC (art. 1.102-A, art. 1.102-B e art. 1.102-C),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que agora foi novamente abraçada pelo Novo Código de Processo Civil (art. 700),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criando a Ação Monitória, passou-se a admitir que o Autor</w:t>
      </w:r>
      <w:r w:rsidRPr="00DA2E47">
        <w:rPr>
          <w:rStyle w:val="apple-converted-space"/>
          <w:rFonts w:ascii="Garamond" w:hAnsi="Garamond" w:cs="Tahoma"/>
        </w:rPr>
        <w:t> </w:t>
      </w:r>
      <w:proofErr w:type="spellStart"/>
      <w:r w:rsidRPr="00DA2E47">
        <w:rPr>
          <w:rStyle w:val="spellingerror"/>
          <w:rFonts w:ascii="Garamond" w:hAnsi="Garamond" w:cs="Tahoma"/>
        </w:rPr>
        <w:t>reaveja</w:t>
      </w:r>
      <w:proofErr w:type="spellEnd"/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pagamento de soma em dinheiro, mesmo que decorrente de título executivo sem eficácia, desde que possua prova escrita deste, pois o cheque perde a sua força executiva, mas mantém a sua natureza de título de crédito.</w:t>
      </w:r>
      <w:r w:rsidRPr="00DA2E47">
        <w:rPr>
          <w:rStyle w:val="normaltextrun"/>
        </w:rPr>
        <w:t>  </w:t>
      </w:r>
      <w:r w:rsidRPr="00DA2E47">
        <w:rPr>
          <w:rStyle w:val="normaltextrun"/>
          <w:rFonts w:ascii="Garamond" w:hAnsi="Garamond" w:cs="Tahoma"/>
        </w:rPr>
        <w:t xml:space="preserve"> O que é o caso, como se demonstrará no desenrolar da presente ação.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  <w:lang w:val="en-US"/>
        </w:rPr>
      </w:pPr>
      <w:r w:rsidRPr="00DA2E47">
        <w:rPr>
          <w:rStyle w:val="normaltextrun"/>
          <w:rFonts w:ascii="Garamond" w:hAnsi="Garamond" w:cs="Tahoma"/>
          <w:lang w:val="en-US"/>
        </w:rPr>
        <w:t>Art.</w:t>
      </w:r>
      <w:r w:rsidRPr="00DA2E47">
        <w:rPr>
          <w:rStyle w:val="apple-converted-space"/>
          <w:rFonts w:ascii="Garamond" w:hAnsi="Garamond" w:cs="Tahoma"/>
          <w:lang w:val="en-US"/>
        </w:rPr>
        <w:t> </w:t>
      </w:r>
      <w:r w:rsidRPr="00DA2E47">
        <w:rPr>
          <w:rStyle w:val="normaltextrun"/>
          <w:rFonts w:ascii="Garamond" w:hAnsi="Garamond" w:cs="Tahoma"/>
          <w:lang w:val="en-US"/>
        </w:rPr>
        <w:t>700</w:t>
      </w:r>
      <w:r w:rsidRPr="00DA2E47">
        <w:rPr>
          <w:rStyle w:val="apple-converted-space"/>
          <w:rFonts w:ascii="Garamond" w:hAnsi="Garamond" w:cs="Tahoma"/>
          <w:lang w:val="en-US"/>
        </w:rPr>
        <w:t> </w:t>
      </w:r>
      <w:r w:rsidRPr="00DA2E47">
        <w:rPr>
          <w:rStyle w:val="normaltextrun"/>
          <w:rFonts w:ascii="Garamond" w:hAnsi="Garamond" w:cs="Tahoma"/>
          <w:lang w:val="en-US"/>
        </w:rPr>
        <w:t>NCPC,</w:t>
      </w:r>
      <w:r w:rsidRPr="00DA2E47">
        <w:rPr>
          <w:rStyle w:val="apple-converted-space"/>
          <w:rFonts w:ascii="Garamond" w:hAnsi="Garamond" w:cs="Tahoma"/>
          <w:lang w:val="en-US"/>
        </w:rPr>
        <w:t> </w:t>
      </w:r>
      <w:r w:rsidRPr="00DA2E47">
        <w:rPr>
          <w:rStyle w:val="normaltextrun"/>
          <w:rFonts w:ascii="Garamond" w:hAnsi="Garamond" w:cs="Tahoma"/>
          <w:i/>
          <w:iCs/>
          <w:lang w:val="en-US"/>
        </w:rPr>
        <w:t>in</w:t>
      </w:r>
      <w:r w:rsidRPr="00DA2E47">
        <w:rPr>
          <w:rStyle w:val="apple-converted-space"/>
          <w:rFonts w:ascii="Garamond" w:hAnsi="Garamond" w:cs="Tahoma"/>
          <w:i/>
          <w:iCs/>
          <w:lang w:val="en-US"/>
        </w:rPr>
        <w:t> </w:t>
      </w:r>
      <w:proofErr w:type="spellStart"/>
      <w:r w:rsidRPr="00DA2E47">
        <w:rPr>
          <w:rStyle w:val="spellingerror"/>
          <w:rFonts w:ascii="Garamond" w:hAnsi="Garamond" w:cs="Tahoma"/>
          <w:i/>
          <w:iCs/>
          <w:lang w:val="en-US"/>
        </w:rPr>
        <w:t>verbis</w:t>
      </w:r>
      <w:proofErr w:type="spellEnd"/>
      <w:r w:rsidRPr="00DA2E47">
        <w:rPr>
          <w:rStyle w:val="normaltextrun"/>
          <w:rFonts w:ascii="Garamond" w:hAnsi="Garamond" w:cs="Tahoma"/>
          <w:i/>
          <w:iCs/>
          <w:lang w:val="en-US"/>
        </w:rPr>
        <w:t>:</w:t>
      </w:r>
      <w:r w:rsidRPr="00DA2E47">
        <w:rPr>
          <w:rStyle w:val="eop"/>
          <w:rFonts w:ascii="Garamond" w:hAnsi="Garamond" w:cs="Tahoma"/>
          <w:lang w:val="en-US"/>
        </w:rPr>
        <w:t> </w:t>
      </w:r>
    </w:p>
    <w:p w:rsidR="005F66D6" w:rsidRPr="00DA2E47" w:rsidRDefault="005F66D6" w:rsidP="005F66D6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lang w:val="en-US"/>
        </w:rPr>
        <w:t>Art. 700. </w:t>
      </w:r>
      <w:r w:rsidRPr="00DA2E47">
        <w:rPr>
          <w:rStyle w:val="apple-converted-space"/>
          <w:rFonts w:ascii="Garamond" w:hAnsi="Garamond" w:cs="Tahoma"/>
          <w:lang w:val="en-US"/>
        </w:rPr>
        <w:t> </w:t>
      </w:r>
      <w:r w:rsidRPr="00DA2E47">
        <w:rPr>
          <w:rStyle w:val="normaltextrun"/>
          <w:rFonts w:ascii="Garamond" w:hAnsi="Garamond" w:cs="Tahoma"/>
        </w:rPr>
        <w:t>A ação monitória pode ser proposta por aquele que afirmar, com base em prova escrita sem eficácia de título executivo, ter direito de exigir do devedor capaz: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 xml:space="preserve">I - </w:t>
      </w:r>
      <w:proofErr w:type="gramStart"/>
      <w:r w:rsidRPr="00DA2E47">
        <w:rPr>
          <w:rStyle w:val="normaltextrun"/>
          <w:rFonts w:ascii="Garamond" w:hAnsi="Garamond" w:cs="Tahoma"/>
        </w:rPr>
        <w:t>o</w:t>
      </w:r>
      <w:proofErr w:type="gramEnd"/>
      <w:r w:rsidRPr="00DA2E47">
        <w:rPr>
          <w:rStyle w:val="normaltextrun"/>
          <w:rFonts w:ascii="Garamond" w:hAnsi="Garamond" w:cs="Tahoma"/>
        </w:rPr>
        <w:t xml:space="preserve"> pagamento de quantia em dinheiro;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 xml:space="preserve">II - </w:t>
      </w:r>
      <w:proofErr w:type="gramStart"/>
      <w:r w:rsidRPr="00DA2E47">
        <w:rPr>
          <w:rStyle w:val="normaltextrun"/>
          <w:rFonts w:ascii="Garamond" w:hAnsi="Garamond" w:cs="Tahoma"/>
        </w:rPr>
        <w:t>a</w:t>
      </w:r>
      <w:proofErr w:type="gramEnd"/>
      <w:r w:rsidRPr="00DA2E47">
        <w:rPr>
          <w:rStyle w:val="normaltextrun"/>
          <w:rFonts w:ascii="Garamond" w:hAnsi="Garamond" w:cs="Tahoma"/>
        </w:rPr>
        <w:t xml:space="preserve"> entrega de coisa fungível ou infungível ou de bem móvel ou imóvel;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III - o adimplemento de obrigação de fazer ou de não fazer.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Deste modo, é perfeitamente viável que o credor de um cheque prescrito se utilize da Ação Monitória para o recebimento da quantia devida, pois o título é prova escrita da dívida, cuja admissão é pacífica diante da redação do enunciado da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  <w:b/>
          <w:bCs/>
        </w:rPr>
        <w:t>Súmula nº 299 do Superior Tribunal de Justiça</w:t>
      </w:r>
      <w:r w:rsidRPr="00DA2E47">
        <w:rPr>
          <w:rStyle w:val="normaltextrun"/>
          <w:rFonts w:ascii="Garamond" w:hAnsi="Garamond" w:cs="Tahoma"/>
        </w:rPr>
        <w:t>, que afirma que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dispõe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  <w:b/>
          <w:bCs/>
        </w:rPr>
        <w:t>“é</w:t>
      </w:r>
      <w:r w:rsidRPr="00DA2E47">
        <w:rPr>
          <w:rStyle w:val="apple-converted-space"/>
          <w:rFonts w:ascii="Garamond" w:hAnsi="Garamond" w:cs="Tahoma"/>
          <w:b/>
          <w:bCs/>
          <w:i/>
          <w:iCs/>
        </w:rPr>
        <w:t> </w:t>
      </w:r>
      <w:r w:rsidRPr="00DA2E47">
        <w:rPr>
          <w:rStyle w:val="normaltextrun"/>
          <w:rFonts w:ascii="Garamond" w:hAnsi="Garamond" w:cs="Tahoma"/>
          <w:b/>
          <w:bCs/>
          <w:i/>
          <w:iCs/>
        </w:rPr>
        <w:t>admissível a ação monitória fundada em cheque prescrito”</w:t>
      </w:r>
      <w:r w:rsidRPr="00DA2E47">
        <w:rPr>
          <w:rStyle w:val="apple-converted-space"/>
          <w:rFonts w:ascii="Garamond" w:hAnsi="Garamond" w:cs="Tahoma"/>
          <w:b/>
          <w:bCs/>
          <w:i/>
          <w:iCs/>
        </w:rPr>
        <w:t> </w:t>
      </w:r>
      <w:r w:rsidRPr="00DA2E47">
        <w:rPr>
          <w:rStyle w:val="normaltextrun"/>
          <w:rFonts w:ascii="Garamond" w:hAnsi="Garamond" w:cs="Tahoma"/>
          <w:b/>
          <w:bCs/>
          <w:i/>
          <w:iCs/>
        </w:rPr>
        <w:t>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Assim, em se tratando de cheques datados a partir de outubro de 2010, a pretensão de cobrança da dívida, via Ação Monitória, passa a ser de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  <w:b/>
          <w:bCs/>
        </w:rPr>
        <w:t>05 (cinco) anos</w:t>
      </w:r>
      <w:r w:rsidRPr="00DA2E47">
        <w:rPr>
          <w:rStyle w:val="normaltextrun"/>
          <w:rFonts w:ascii="Garamond" w:hAnsi="Garamond" w:cs="Tahoma"/>
        </w:rPr>
        <w:t>, conforme o preceitua o artigo 206, § 5º, I, do Código Civil, ratificado esse entendimento por intermédio do julgado do</w:t>
      </w:r>
      <w:r w:rsidRPr="00DA2E47">
        <w:rPr>
          <w:rStyle w:val="apple-converted-space"/>
          <w:rFonts w:ascii="Garamond" w:hAnsi="Garamond" w:cs="Tahoma"/>
        </w:rPr>
        <w:t> </w:t>
      </w:r>
      <w:proofErr w:type="spellStart"/>
      <w:r w:rsidRPr="00DA2E47">
        <w:rPr>
          <w:rFonts w:ascii="Garamond" w:hAnsi="Garamond" w:cs="Segoe UI"/>
        </w:rPr>
        <w:fldChar w:fldCharType="begin"/>
      </w:r>
      <w:r w:rsidRPr="00DA2E47">
        <w:rPr>
          <w:rFonts w:ascii="Garamond" w:hAnsi="Garamond" w:cs="Segoe UI"/>
        </w:rPr>
        <w:instrText xml:space="preserve"> HYPERLINK "http://www.stj.jus.br/webstj/processo/justica/jurisprudencia.asp?tipo=num_pro&amp;valor=REsp%20926312" </w:instrText>
      </w:r>
      <w:r w:rsidRPr="00DA2E47">
        <w:rPr>
          <w:rFonts w:ascii="Garamond" w:hAnsi="Garamond" w:cs="Segoe UI"/>
        </w:rPr>
        <w:fldChar w:fldCharType="separate"/>
      </w:r>
      <w:r w:rsidRPr="00DA2E47">
        <w:rPr>
          <w:rStyle w:val="normaltextrun"/>
          <w:rFonts w:ascii="Garamond" w:hAnsi="Garamond" w:cs="Tahoma"/>
          <w:color w:val="000000"/>
          <w:u w:val="single"/>
        </w:rPr>
        <w:t>REsp</w:t>
      </w:r>
      <w:proofErr w:type="spellEnd"/>
      <w:r w:rsidRPr="00DA2E47">
        <w:rPr>
          <w:rStyle w:val="normaltextrun"/>
          <w:rFonts w:ascii="Garamond" w:hAnsi="Garamond" w:cs="Tahoma"/>
          <w:color w:val="000000"/>
          <w:u w:val="single"/>
        </w:rPr>
        <w:t xml:space="preserve"> 926312</w:t>
      </w:r>
      <w:r w:rsidRPr="00DA2E47">
        <w:rPr>
          <w:rFonts w:ascii="Garamond" w:hAnsi="Garamond" w:cs="Segoe UI"/>
        </w:rPr>
        <w:fldChar w:fldCharType="end"/>
      </w:r>
      <w:r w:rsidRPr="00DA2E47">
        <w:rPr>
          <w:rStyle w:val="apple-converted-space"/>
          <w:rFonts w:ascii="Garamond" w:hAnsi="Garamond" w:cs="Tahoma"/>
          <w:color w:val="000000"/>
        </w:rPr>
        <w:t> </w:t>
      </w:r>
      <w:r w:rsidRPr="00DA2E47">
        <w:rPr>
          <w:rStyle w:val="normaltextrun"/>
          <w:rFonts w:ascii="Garamond" w:hAnsi="Garamond" w:cs="Tahoma"/>
          <w:color w:val="000000"/>
        </w:rPr>
        <w:t>d</w:t>
      </w:r>
      <w:r w:rsidRPr="00DA2E47">
        <w:rPr>
          <w:rStyle w:val="normaltextrun"/>
          <w:rFonts w:ascii="Garamond" w:hAnsi="Garamond" w:cs="Tahoma"/>
        </w:rPr>
        <w:t>o STJ, que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expõe: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lastRenderedPageBreak/>
        <w:t>“caso o portador do cheque opte pela ação monitória, o prazo prescricional será quinquenal, conforme disposto no artigo 206, parágrafo 5º, inciso I, do Código Civil, e não haverá necessidade de descrição da causa da dívida.”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eop"/>
          <w:rFonts w:ascii="Garamond" w:hAnsi="Garamond" w:cs="Segoe UI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A fim de reforçar o direito do autor, podemos, ainda, destacar a lição do Prof.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  <w:b/>
          <w:bCs/>
        </w:rPr>
        <w:t>Humberto Theodoro Júnior a respeito da ação monitória</w:t>
      </w:r>
      <w:r w:rsidRPr="00DA2E47">
        <w:rPr>
          <w:rStyle w:val="normaltextrun"/>
          <w:rFonts w:ascii="Garamond" w:hAnsi="Garamond" w:cs="Tahoma"/>
        </w:rPr>
        <w:t>, retirado do seu livro “</w:t>
      </w:r>
      <w:r w:rsidRPr="00DA2E47">
        <w:rPr>
          <w:rStyle w:val="normaltextrun"/>
          <w:rFonts w:ascii="Garamond" w:hAnsi="Garamond" w:cs="Tahoma"/>
          <w:i/>
          <w:iCs/>
        </w:rPr>
        <w:t>Curso de Direito Processual Civil”</w:t>
      </w:r>
      <w:r w:rsidRPr="00DA2E47">
        <w:rPr>
          <w:rStyle w:val="normaltextrun"/>
          <w:rFonts w:ascii="Garamond" w:hAnsi="Garamond" w:cs="Tahoma"/>
        </w:rPr>
        <w:t>. 42ª Ed. Rio de Janeiro: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Forense, 2010, vol. 3. Pág. 333: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Trata-se, em primeiro lugar, de uma opção que a lei confere ao credor e não um ônus ou uma imposição a que invariavelmente tenha de se submeter na escolha da via processual. O procedimento monitório substitui a ação de conhecimento, se o credor assim desejar. Se, porém, preferir a via normal da ação condenatória, nada o impedirá de usá-la. Ao escolher a ação monitória, o que a parte tem em mira é abreviar o caminho complicado do procedimento ordinário, se o réu, como é provável, não se interessar pela discussão da obrigação. Para incentivá-lo a não oferecer defesa infundada ou meramente procrastinatória, a lei prevê que, ‘cumprido o réu o mandado, ficará isento de custas e honorários advocatícios’ (art. 1102-C, § 1º). Com isso tenta a lei acelerar a satisfação do direito de credor, criando atrativos também para o devedor, no plano econômico, e fazendo com que este somente se disponha a arcar com os encargos processuais dos embargos se, realmente, estiver convencido da inexistência do direito do credor.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 xml:space="preserve">A pretensão do Autor está devidamente fundamentada nesta petição inicial, uma vez que </w:t>
      </w:r>
      <w:proofErr w:type="gramStart"/>
      <w:r w:rsidRPr="00DA2E47">
        <w:rPr>
          <w:rStyle w:val="normaltextrun"/>
          <w:rFonts w:ascii="Garamond" w:hAnsi="Garamond" w:cs="Tahoma"/>
        </w:rPr>
        <w:t>colacionou-se</w:t>
      </w:r>
      <w:proofErr w:type="gramEnd"/>
      <w:r w:rsidRPr="00DA2E47">
        <w:rPr>
          <w:rStyle w:val="normaltextrun"/>
          <w:rFonts w:ascii="Garamond" w:hAnsi="Garamond" w:cs="Tahoma"/>
        </w:rPr>
        <w:t xml:space="preserve"> os cheques prescritos devidamente assinados pelo Réu, prescindindo da demonstração da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  <w:i/>
          <w:iCs/>
        </w:rPr>
        <w:t>causa debendi</w:t>
      </w:r>
      <w:r w:rsidRPr="00DA2E47">
        <w:rPr>
          <w:rStyle w:val="normaltextrun"/>
          <w:rFonts w:ascii="Garamond" w:hAnsi="Garamond" w:cs="Tahoma"/>
        </w:rPr>
        <w:t>, consoante jurisprudência.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Em relação à atualização monetária do valor devido (que trazemos à guisa através de demonstrativo contábil em anexo), o art. 397 do Código Civil (CC) menciona: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O inadimplemento da obrigação, positiva e líquida, no seu termo, constitui de pleno direito em mora o devedor.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Já em relação aos juros moratórios, estes devem incidir a partir do ato citatório, consoante o art. 405 do mesmo dispositivo legal: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</w:rPr>
        <w:t> </w:t>
      </w:r>
      <w:r w:rsidRPr="00DA2E47">
        <w:rPr>
          <w:rStyle w:val="normaltextrun"/>
          <w:rFonts w:ascii="Garamond" w:hAnsi="Garamond" w:cs="Tahoma"/>
        </w:rPr>
        <w:t>Art. 405 – Contam-se os juros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de mora desde a citação inicial.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Nesse sentido, os seguintes julgados: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b/>
          <w:bCs/>
        </w:rPr>
        <w:lastRenderedPageBreak/>
        <w:t>APELAÇAO. AÇÃO MONITÓRIA. TERMO INICIAL. JUROS DE MORA. CITAÇÃO. CORREÇÃO MONETÁRIA. VENCIMENTO DE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  <w:b/>
          <w:bCs/>
        </w:rPr>
        <w:t>CADA PARCELA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</w:rPr>
        <w:t>Prestações vincendas. Os juros de mora incidirão a partir da citação válida, no percentual de 1% ao mês, nos termos do artigo 405 do Código Civil. Na ação monitória para cobrança de cheque prescrito, a correção monetária corre a partir da data do respectivo vencimento. Em se tratando de ação monitória fundada em título de crédito prescrito, que espelha obrigação líquida, os juros de mora devem incidir a partir do vencimento da obrigação. (</w:t>
      </w:r>
      <w:r w:rsidRPr="00DA2E47">
        <w:rPr>
          <w:rStyle w:val="normaltextrun"/>
          <w:rFonts w:ascii="Garamond" w:hAnsi="Garamond" w:cs="Tahoma"/>
          <w:b/>
          <w:bCs/>
        </w:rPr>
        <w:t>TJMG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– APCV 5465597-36.2009.8.13.0024; Belo Horizonte; Décima Quarta Câmara Cível; Rel. Des. Rogério Medeiros;</w:t>
      </w:r>
      <w:r w:rsidRPr="00DA2E47">
        <w:rPr>
          <w:rStyle w:val="apple-converted-space"/>
          <w:rFonts w:ascii="Garamond" w:hAnsi="Garamond" w:cs="Tahoma"/>
        </w:rPr>
        <w:t> </w:t>
      </w:r>
      <w:proofErr w:type="spellStart"/>
      <w:r w:rsidRPr="00DA2E47">
        <w:rPr>
          <w:rStyle w:val="spellingerror"/>
          <w:rFonts w:ascii="Garamond" w:hAnsi="Garamond" w:cs="Tahoma"/>
        </w:rPr>
        <w:t>Julg</w:t>
      </w:r>
      <w:proofErr w:type="spellEnd"/>
      <w:r w:rsidRPr="00DA2E47">
        <w:rPr>
          <w:rStyle w:val="normaltextrun"/>
          <w:rFonts w:ascii="Garamond" w:hAnsi="Garamond" w:cs="Tahoma"/>
        </w:rPr>
        <w:t>. 02/02/2012; DJEMG 14/03/2012)</w:t>
      </w:r>
      <w:r w:rsidRPr="00DA2E47">
        <w:rPr>
          <w:rStyle w:val="normaltextrun"/>
        </w:rPr>
        <w:t> 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/>
        <w:ind w:left="226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b/>
          <w:bCs/>
        </w:rPr>
        <w:t>MONITÓRIA. PEDIDO CONTRAPOSTO. NÃO CABIMENTO. CHEQUE PRESCRITO. NEGÓCIO SUBJACENTE CONCLUÍDO. PROCEDÊNCIA. CORREÇÃO MONETÁRIA E JUROS DE MORA. TERMO INICIAL.</w:t>
      </w:r>
      <w:r w:rsidRPr="00DA2E47">
        <w:rPr>
          <w:rStyle w:val="apple-converted-space"/>
          <w:rFonts w:ascii="Garamond" w:hAnsi="Garamond" w:cs="Tahoma"/>
          <w:b/>
          <w:bCs/>
        </w:rPr>
        <w:t> </w:t>
      </w:r>
      <w:r w:rsidRPr="00DA2E47">
        <w:rPr>
          <w:rStyle w:val="normaltextrun"/>
          <w:rFonts w:ascii="Garamond" w:hAnsi="Garamond" w:cs="Tahoma"/>
        </w:rPr>
        <w:t>É incabível, em sede de embargos monitórios, a apresentação de pedido contraposto, sendo possível, nessa situação, a apresentação de reconvenção, nos termos da Súmula n. 292 do STJ. É procedente ação monitória quando provado que o negócio do qual se originam os cheques prescritos foi devidamente concluído. Na ação monitória, os juros moratórios contam-se a partir da citação, e a correção monetária a partir do vencimento do título. (</w:t>
      </w:r>
      <w:r w:rsidRPr="00DA2E47">
        <w:rPr>
          <w:rStyle w:val="normaltextrun"/>
          <w:rFonts w:ascii="Garamond" w:hAnsi="Garamond" w:cs="Tahoma"/>
          <w:b/>
          <w:bCs/>
        </w:rPr>
        <w:t>TJRO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– APL 0044388-37.2007.8.22.0007; Rel. Des. Marcos Alaor Diniz</w:t>
      </w:r>
      <w:r w:rsidRPr="00DA2E47">
        <w:rPr>
          <w:rStyle w:val="apple-converted-space"/>
          <w:rFonts w:ascii="Garamond" w:hAnsi="Garamond" w:cs="Tahoma"/>
        </w:rPr>
        <w:t> </w:t>
      </w:r>
      <w:proofErr w:type="spellStart"/>
      <w:r w:rsidRPr="00DA2E47">
        <w:rPr>
          <w:rStyle w:val="spellingerror"/>
          <w:rFonts w:ascii="Garamond" w:hAnsi="Garamond" w:cs="Tahoma"/>
        </w:rPr>
        <w:t>Grangeia</w:t>
      </w:r>
      <w:proofErr w:type="spellEnd"/>
      <w:r w:rsidRPr="00DA2E47">
        <w:rPr>
          <w:rStyle w:val="normaltextrun"/>
          <w:rFonts w:ascii="Garamond" w:hAnsi="Garamond" w:cs="Tahoma"/>
        </w:rPr>
        <w:t>;</w:t>
      </w:r>
      <w:r w:rsidRPr="00DA2E47">
        <w:rPr>
          <w:rStyle w:val="apple-converted-space"/>
          <w:rFonts w:ascii="Garamond" w:hAnsi="Garamond" w:cs="Tahoma"/>
        </w:rPr>
        <w:t> </w:t>
      </w:r>
      <w:proofErr w:type="spellStart"/>
      <w:r w:rsidRPr="00DA2E47">
        <w:rPr>
          <w:rStyle w:val="spellingerror"/>
          <w:rFonts w:ascii="Garamond" w:hAnsi="Garamond" w:cs="Tahoma"/>
        </w:rPr>
        <w:t>Julg</w:t>
      </w:r>
      <w:proofErr w:type="spellEnd"/>
      <w:r w:rsidRPr="00DA2E47">
        <w:rPr>
          <w:rStyle w:val="normaltextrun"/>
          <w:rFonts w:ascii="Garamond" w:hAnsi="Garamond" w:cs="Tahoma"/>
        </w:rPr>
        <w:t>. 23/02/2011; DJERO 01/03/2011; Pág. 38).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8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Portando, demonstrado está o direito do autor em reaver o que lhe é justamente devido e ajustado monetariamente. O que nos leva aos pedidos da presente ação.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  <w:b/>
          <w:bCs/>
        </w:rPr>
        <w:t>III – DOS PEDIDOS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firstLine="70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Isto posto, requer: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a) a expedição de mandado monitório, determinando a citação do réu para que no prazo de 15 (quinze) dias pague,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com a devida atualização do valor,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o mandado sob pena de conversão em título executivo nos termos do artigo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701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do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Novo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Código de Processo Civil;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b) em querendo, poderá o réu em igual prazo apresentar embargos; e</w:t>
      </w:r>
      <w:r w:rsidRPr="00DA2E47">
        <w:rPr>
          <w:rStyle w:val="eop"/>
          <w:rFonts w:ascii="Garamond" w:hAnsi="Garamond" w:cs="Tahoma"/>
        </w:rPr>
        <w:t> </w:t>
      </w:r>
    </w:p>
    <w:p w:rsidR="003C36EC" w:rsidRPr="00DA2E47" w:rsidRDefault="003C36EC" w:rsidP="003C36EC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eop"/>
          <w:rFonts w:ascii="Garamond" w:hAnsi="Garamond" w:cs="Tahoma"/>
        </w:rPr>
        <w:t xml:space="preserve">c) Que o pagamento </w:t>
      </w:r>
      <w:proofErr w:type="gramStart"/>
      <w:r w:rsidRPr="00DA2E47">
        <w:rPr>
          <w:rStyle w:val="eop"/>
          <w:rFonts w:ascii="Garamond" w:hAnsi="Garamond" w:cs="Tahoma"/>
        </w:rPr>
        <w:t>das custa</w:t>
      </w:r>
      <w:proofErr w:type="gramEnd"/>
      <w:r w:rsidRPr="00DA2E47">
        <w:rPr>
          <w:rStyle w:val="eop"/>
          <w:rFonts w:ascii="Garamond" w:hAnsi="Garamond" w:cs="Tahoma"/>
        </w:rPr>
        <w:t xml:space="preserve"> sejam realizados ao final do processo, levando em conta todo o débito suportado pelo autor, que não se limita apenas ao oriundo desta ação; e </w:t>
      </w:r>
    </w:p>
    <w:p w:rsidR="003C36EC" w:rsidRPr="00DA2E47" w:rsidRDefault="003C36EC" w:rsidP="003C36EC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lastRenderedPageBreak/>
        <w:t>d)</w:t>
      </w:r>
      <w:r w:rsidRPr="00DA2E47">
        <w:rPr>
          <w:rStyle w:val="apple-converted-space"/>
          <w:rFonts w:ascii="Garamond" w:hAnsi="Garamond" w:cs="Tahoma"/>
        </w:rPr>
        <w:t> </w:t>
      </w:r>
      <w:r w:rsidRPr="00DA2E47">
        <w:rPr>
          <w:rStyle w:val="normaltextrun"/>
          <w:rFonts w:ascii="Garamond" w:hAnsi="Garamond" w:cs="Tahoma"/>
        </w:rPr>
        <w:t>caso o mandado não seja cumprido espontaneamente requer seja o réu condenado, nas custas e honorários a serem arbitrados conforme artigo art. 701 NCPC.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Com a eventual oposição de embargos, protesta provar alegado por todos os meios de prova em direito admitidos, que ficam desde já requeridos, ainda que não especificados.</w:t>
      </w:r>
      <w:r w:rsidRPr="00DA2E47">
        <w:rPr>
          <w:rStyle w:val="eop"/>
          <w:rFonts w:ascii="Garamond" w:hAnsi="Garamond" w:cs="Tahoma"/>
        </w:rPr>
        <w:t> </w:t>
      </w:r>
    </w:p>
    <w:p w:rsidR="005F66D6" w:rsidRPr="00DA2E47" w:rsidRDefault="005F66D6" w:rsidP="005F66D6">
      <w:pPr>
        <w:pStyle w:val="paragraph"/>
        <w:spacing w:before="0" w:beforeAutospacing="0" w:after="240" w:afterAutospacing="0" w:line="360" w:lineRule="auto"/>
        <w:ind w:left="1695"/>
        <w:jc w:val="both"/>
        <w:textAlignment w:val="baseline"/>
        <w:rPr>
          <w:rFonts w:ascii="Garamond" w:hAnsi="Garamond" w:cs="Segoe UI"/>
        </w:rPr>
      </w:pPr>
      <w:r w:rsidRPr="00DA2E47">
        <w:rPr>
          <w:rStyle w:val="normaltextrun"/>
          <w:rFonts w:ascii="Garamond" w:hAnsi="Garamond" w:cs="Tahoma"/>
        </w:rPr>
        <w:t>Atribui-se à causa o valor de</w:t>
      </w:r>
      <w:r w:rsidRPr="00DA2E47">
        <w:rPr>
          <w:rStyle w:val="apple-converted-space"/>
          <w:rFonts w:ascii="Garamond" w:hAnsi="Garamond" w:cs="Tahoma"/>
        </w:rPr>
        <w:t> </w:t>
      </w:r>
      <w:r w:rsidR="00B2208A" w:rsidRPr="00DA2E47">
        <w:rPr>
          <w:rStyle w:val="normaltextrun"/>
          <w:rFonts w:ascii="Garamond" w:hAnsi="Garamond" w:cs="Tahoma"/>
        </w:rPr>
        <w:t>R$</w:t>
      </w:r>
      <w:r w:rsidR="00B2208A" w:rsidRPr="00DA2E47">
        <w:rPr>
          <w:rStyle w:val="apple-converted-space"/>
          <w:rFonts w:ascii="Garamond" w:hAnsi="Garamond" w:cs="Tahoma"/>
        </w:rPr>
        <w:t> </w:t>
      </w:r>
      <w:r w:rsidR="00B2208A" w:rsidRPr="00DA2E47">
        <w:rPr>
          <w:rStyle w:val="normaltextrun"/>
          <w:rFonts w:ascii="Garamond" w:hAnsi="Garamond" w:cs="Tahoma"/>
        </w:rPr>
        <w:t>2.867,01 (dois mil oitocentos e sessenta e sete reais e um centavo)</w:t>
      </w:r>
      <w:r w:rsidR="00935E1E" w:rsidRPr="00DA2E47">
        <w:rPr>
          <w:rStyle w:val="normaltextrun"/>
          <w:rFonts w:ascii="Garamond" w:hAnsi="Garamond" w:cs="Tahoma"/>
        </w:rPr>
        <w:t>.</w:t>
      </w:r>
    </w:p>
    <w:p w:rsidR="008D5DAC" w:rsidRPr="00DA2E47" w:rsidRDefault="008D5DAC" w:rsidP="008D5DA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DA2E47">
        <w:rPr>
          <w:rFonts w:ascii="Garamond" w:hAnsi="Garamond" w:cs="Tahoma"/>
          <w:spacing w:val="2"/>
        </w:rPr>
        <w:t xml:space="preserve">Nestes termos, </w:t>
      </w:r>
    </w:p>
    <w:p w:rsidR="008D5DAC" w:rsidRPr="00DA2E47" w:rsidRDefault="008D5DAC" w:rsidP="008D5DA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A2E47">
        <w:rPr>
          <w:rFonts w:ascii="Garamond" w:hAnsi="Garamond" w:cs="Tahoma"/>
          <w:spacing w:val="2"/>
        </w:rPr>
        <w:t>pede e espera deferimento.</w:t>
      </w:r>
    </w:p>
    <w:p w:rsidR="008D5DAC" w:rsidRPr="00DA2E47" w:rsidRDefault="008D5DAC" w:rsidP="008D5DA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A2E47">
        <w:rPr>
          <w:rFonts w:ascii="Garamond" w:hAnsi="Garamond" w:cs="Tahoma"/>
          <w:spacing w:val="2"/>
        </w:rPr>
        <w:t>... (Município – UF), ... (dia) de ... (mês) de ... (ano).</w:t>
      </w:r>
    </w:p>
    <w:p w:rsidR="008D5DAC" w:rsidRPr="00DA2E47" w:rsidRDefault="008D5DAC" w:rsidP="008D5DAC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8D5DAC" w:rsidRPr="00DA2E47" w:rsidRDefault="008D5DAC" w:rsidP="008D5DAC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A2E47">
        <w:rPr>
          <w:rFonts w:ascii="Garamond" w:hAnsi="Garamond" w:cs="Tahoma"/>
          <w:b/>
          <w:sz w:val="24"/>
          <w:szCs w:val="24"/>
        </w:rPr>
        <w:t>ADVOGADO</w:t>
      </w:r>
    </w:p>
    <w:p w:rsidR="008D5DAC" w:rsidRPr="00DA2E47" w:rsidRDefault="008D5DAC" w:rsidP="008D5DAC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A2E47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8D5DAC" w:rsidRPr="00DA2E47" w:rsidRDefault="008D5DAC" w:rsidP="008D5DAC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3"/>
    <w:p w:rsidR="00086324" w:rsidRPr="00DA2E47" w:rsidRDefault="00086324">
      <w:pPr>
        <w:rPr>
          <w:rFonts w:ascii="Garamond" w:hAnsi="Garamond"/>
          <w:sz w:val="24"/>
          <w:szCs w:val="24"/>
        </w:rPr>
      </w:pPr>
    </w:p>
    <w:sectPr w:rsidR="00086324" w:rsidRPr="00DA2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DA" w:rsidRDefault="005D0FDA" w:rsidP="00305B4C">
      <w:pPr>
        <w:spacing w:after="0" w:line="240" w:lineRule="auto"/>
      </w:pPr>
      <w:r>
        <w:separator/>
      </w:r>
    </w:p>
  </w:endnote>
  <w:endnote w:type="continuationSeparator" w:id="0">
    <w:p w:rsidR="005D0FDA" w:rsidRDefault="005D0FDA" w:rsidP="0030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DA" w:rsidRDefault="005D0FDA" w:rsidP="00305B4C">
      <w:pPr>
        <w:spacing w:after="0" w:line="240" w:lineRule="auto"/>
      </w:pPr>
      <w:r>
        <w:separator/>
      </w:r>
    </w:p>
  </w:footnote>
  <w:footnote w:type="continuationSeparator" w:id="0">
    <w:p w:rsidR="005D0FDA" w:rsidRDefault="005D0FDA" w:rsidP="00305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6D6"/>
    <w:rsid w:val="00086324"/>
    <w:rsid w:val="00305B4C"/>
    <w:rsid w:val="00371DDE"/>
    <w:rsid w:val="003C36EC"/>
    <w:rsid w:val="005D0FDA"/>
    <w:rsid w:val="005F66D6"/>
    <w:rsid w:val="00640606"/>
    <w:rsid w:val="008D5DAC"/>
    <w:rsid w:val="008E75D0"/>
    <w:rsid w:val="00935E1E"/>
    <w:rsid w:val="00A16E10"/>
    <w:rsid w:val="00A40A6C"/>
    <w:rsid w:val="00AE397A"/>
    <w:rsid w:val="00B2208A"/>
    <w:rsid w:val="00B36CD8"/>
    <w:rsid w:val="00C808A8"/>
    <w:rsid w:val="00D00F58"/>
    <w:rsid w:val="00D26093"/>
    <w:rsid w:val="00D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89737"/>
  <w15:docId w15:val="{E21CF072-8D96-4250-B8BC-B8AECF23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F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F66D6"/>
  </w:style>
  <w:style w:type="character" w:customStyle="1" w:styleId="apple-converted-space">
    <w:name w:val="apple-converted-space"/>
    <w:basedOn w:val="Fontepargpadro"/>
    <w:rsid w:val="005F66D6"/>
  </w:style>
  <w:style w:type="character" w:customStyle="1" w:styleId="eop">
    <w:name w:val="eop"/>
    <w:basedOn w:val="Fontepargpadro"/>
    <w:rsid w:val="005F66D6"/>
  </w:style>
  <w:style w:type="character" w:customStyle="1" w:styleId="spellingerror">
    <w:name w:val="spellingerror"/>
    <w:basedOn w:val="Fontepargpadro"/>
    <w:rsid w:val="005F66D6"/>
  </w:style>
  <w:style w:type="paragraph" w:styleId="Cabealho">
    <w:name w:val="header"/>
    <w:basedOn w:val="Normal"/>
    <w:link w:val="CabealhoChar"/>
    <w:uiPriority w:val="99"/>
    <w:unhideWhenUsed/>
    <w:rsid w:val="00305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B4C"/>
  </w:style>
  <w:style w:type="paragraph" w:styleId="Rodap">
    <w:name w:val="footer"/>
    <w:basedOn w:val="Normal"/>
    <w:link w:val="RodapChar"/>
    <w:uiPriority w:val="99"/>
    <w:unhideWhenUsed/>
    <w:rsid w:val="00305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B4C"/>
  </w:style>
  <w:style w:type="paragraph" w:styleId="NormalWeb">
    <w:name w:val="Normal (Web)"/>
    <w:basedOn w:val="Normal"/>
    <w:uiPriority w:val="99"/>
    <w:unhideWhenUsed/>
    <w:rsid w:val="008D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ticoesonline.com.br/blog/video-aula-comentarios-lei-do-cheque-lei-7357/85-parte-1/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1830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Francisco Neto</cp:lastModifiedBy>
  <cp:revision>12</cp:revision>
  <dcterms:created xsi:type="dcterms:W3CDTF">2016-03-22T19:21:00Z</dcterms:created>
  <dcterms:modified xsi:type="dcterms:W3CDTF">2019-06-06T21:04:00Z</dcterms:modified>
</cp:coreProperties>
</file>