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FF9FC" w14:textId="77777777" w:rsidR="00232BAC" w:rsidRPr="00427703" w:rsidRDefault="00232BAC" w:rsidP="00232BAC">
      <w:pPr>
        <w:pStyle w:val="NormalWeb"/>
        <w:shd w:val="clear" w:color="auto" w:fill="FFFFFF"/>
        <w:spacing w:before="0" w:after="300" w:line="360" w:lineRule="auto"/>
        <w:jc w:val="center"/>
        <w:rPr>
          <w:rFonts w:ascii="Garamond" w:hAnsi="Garamond"/>
          <w:spacing w:val="2"/>
        </w:rPr>
      </w:pPr>
      <w:r w:rsidRPr="00427703">
        <w:rPr>
          <w:rFonts w:ascii="Garamond" w:hAnsi="Garamond"/>
          <w:b/>
          <w:bCs/>
          <w:spacing w:val="2"/>
        </w:rPr>
        <w:t>EXCELENTÍSSIMO JUIZO DA 18ª VARA DO TRABALHO DA COMARCA DE GOIANIA - GO</w:t>
      </w:r>
    </w:p>
    <w:p w14:paraId="03B60D38" w14:textId="77777777" w:rsidR="00232BAC" w:rsidRPr="00427703" w:rsidRDefault="00232BAC" w:rsidP="00232BAC">
      <w:pPr>
        <w:spacing w:line="360" w:lineRule="auto"/>
        <w:rPr>
          <w:rFonts w:ascii="Garamond" w:hAnsi="Garamond" w:cs="Tahoma"/>
          <w:color w:val="000000" w:themeColor="text1"/>
          <w:sz w:val="24"/>
          <w:szCs w:val="24"/>
        </w:rPr>
      </w:pPr>
    </w:p>
    <w:p w14:paraId="7A25DA8F" w14:textId="77777777" w:rsidR="00232BAC" w:rsidRPr="00427703" w:rsidRDefault="00232BAC" w:rsidP="00232BAC">
      <w:pPr>
        <w:spacing w:line="360" w:lineRule="auto"/>
        <w:rPr>
          <w:rFonts w:ascii="Garamond" w:hAnsi="Garamond" w:cs="Tahoma"/>
          <w:color w:val="000000" w:themeColor="text1"/>
          <w:sz w:val="24"/>
          <w:szCs w:val="24"/>
        </w:rPr>
      </w:pPr>
    </w:p>
    <w:p w14:paraId="193E8927" w14:textId="0EDB6357" w:rsidR="00232BAC" w:rsidRPr="00427703" w:rsidRDefault="00232BAC" w:rsidP="00232BAC">
      <w:pPr>
        <w:spacing w:line="360" w:lineRule="auto"/>
        <w:rPr>
          <w:rFonts w:ascii="Garamond" w:hAnsi="Garamond" w:cs="Tahoma"/>
          <w:color w:val="000000" w:themeColor="text1"/>
          <w:sz w:val="24"/>
          <w:szCs w:val="24"/>
        </w:rPr>
      </w:pPr>
      <w:r w:rsidRPr="00427703">
        <w:rPr>
          <w:rFonts w:ascii="Garamond" w:hAnsi="Garamond" w:cs="Tahoma"/>
          <w:color w:val="000000" w:themeColor="text1"/>
          <w:sz w:val="24"/>
          <w:szCs w:val="24"/>
        </w:rPr>
        <w:t xml:space="preserve">Processo nº </w:t>
      </w:r>
      <w:r w:rsidR="00C32F67">
        <w:rPr>
          <w:rFonts w:ascii="Garamond" w:hAnsi="Garamond" w:cs="Tahoma"/>
          <w:color w:val="000000" w:themeColor="text1"/>
          <w:sz w:val="24"/>
          <w:szCs w:val="24"/>
        </w:rPr>
        <w:t>_____</w:t>
      </w:r>
    </w:p>
    <w:p w14:paraId="65E51A0F" w14:textId="77777777" w:rsidR="00232BAC" w:rsidRPr="00427703" w:rsidRDefault="00232BAC" w:rsidP="00232BAC">
      <w:pPr>
        <w:spacing w:line="360" w:lineRule="auto"/>
        <w:rPr>
          <w:rFonts w:ascii="Garamond" w:hAnsi="Garamond" w:cs="Tahoma"/>
          <w:color w:val="000000" w:themeColor="text1"/>
          <w:sz w:val="24"/>
          <w:szCs w:val="24"/>
        </w:rPr>
      </w:pPr>
    </w:p>
    <w:p w14:paraId="68DCFA57" w14:textId="32BDA1B8" w:rsidR="009E7ACE" w:rsidRDefault="00C32F67" w:rsidP="00232BAC">
      <w:pPr>
        <w:pStyle w:val="NormalWeb"/>
        <w:shd w:val="clear" w:color="auto" w:fill="FFFFFF"/>
        <w:spacing w:before="240" w:after="300" w:line="360" w:lineRule="auto"/>
        <w:ind w:firstLine="708"/>
        <w:jc w:val="both"/>
        <w:rPr>
          <w:rFonts w:ascii="Garamond" w:hAnsi="Garamond" w:cs="Tahoma"/>
          <w:color w:val="000000" w:themeColor="text1"/>
        </w:rPr>
      </w:pPr>
      <w:r>
        <w:rPr>
          <w:rFonts w:ascii="Garamond" w:eastAsia="Calibri" w:hAnsi="Garamond"/>
          <w:b/>
          <w:bCs/>
          <w:color w:val="000000"/>
        </w:rPr>
        <w:t>_____________________________________________________________</w:t>
      </w:r>
      <w:r w:rsidR="00232BAC" w:rsidRPr="00427703">
        <w:rPr>
          <w:rFonts w:ascii="Garamond" w:hAnsi="Garamond" w:cs="Tahoma"/>
          <w:color w:val="000000" w:themeColor="text1"/>
        </w:rPr>
        <w:t xml:space="preserve">, vem respeitosamente, nos autos de reclamatória trabalhista em que contende com </w:t>
      </w:r>
    </w:p>
    <w:p w14:paraId="2125A61D" w14:textId="22D6E7BD" w:rsidR="00232BAC" w:rsidRPr="00427703" w:rsidRDefault="00C32F67" w:rsidP="00232BAC">
      <w:pPr>
        <w:pStyle w:val="NormalWeb"/>
        <w:shd w:val="clear" w:color="auto" w:fill="FFFFFF"/>
        <w:spacing w:before="240" w:after="300" w:line="360" w:lineRule="auto"/>
        <w:ind w:firstLine="708"/>
        <w:jc w:val="both"/>
        <w:rPr>
          <w:rFonts w:ascii="Garamond" w:hAnsi="Garamond" w:cs="Tahoma"/>
          <w:color w:val="000000" w:themeColor="text1"/>
        </w:rPr>
      </w:pPr>
      <w:r>
        <w:rPr>
          <w:rFonts w:ascii="Garamond" w:hAnsi="Garamond"/>
          <w:b/>
        </w:rPr>
        <w:t>______________________________________________________________________________</w:t>
      </w:r>
      <w:r w:rsidR="00232BAC" w:rsidRPr="00427703">
        <w:rPr>
          <w:rFonts w:ascii="Garamond" w:hAnsi="Garamond" w:cs="Tahoma"/>
          <w:color w:val="000000" w:themeColor="text1"/>
        </w:rPr>
        <w:t>, à presença de Vossa Excelência</w:t>
      </w:r>
      <w:r w:rsidR="009E7ACE">
        <w:rPr>
          <w:rFonts w:ascii="Garamond" w:hAnsi="Garamond" w:cs="Tahoma"/>
          <w:color w:val="000000" w:themeColor="text1"/>
        </w:rPr>
        <w:t>, interpor, tesmpestivamente e com fulcro no art. 897, b, da CLT</w:t>
      </w:r>
    </w:p>
    <w:p w14:paraId="3C627942" w14:textId="47A92513" w:rsidR="00232BAC" w:rsidRPr="00427703" w:rsidRDefault="009E7ACE" w:rsidP="00232BAC">
      <w:pPr>
        <w:spacing w:line="360" w:lineRule="auto"/>
        <w:jc w:val="center"/>
        <w:rPr>
          <w:rFonts w:ascii="Garamond" w:hAnsi="Garamond" w:cs="Tahoma"/>
          <w:color w:val="000000" w:themeColor="text1"/>
          <w:sz w:val="24"/>
          <w:szCs w:val="24"/>
        </w:rPr>
      </w:pPr>
      <w:r>
        <w:rPr>
          <w:rFonts w:ascii="Garamond" w:hAnsi="Garamond" w:cs="Tahoma"/>
          <w:b/>
          <w:color w:val="000000" w:themeColor="text1"/>
          <w:sz w:val="24"/>
          <w:szCs w:val="24"/>
        </w:rPr>
        <w:t>AGRAVO DE INSTRUMENTO</w:t>
      </w:r>
    </w:p>
    <w:p w14:paraId="28D2A0D6" w14:textId="77777777" w:rsidR="00232BAC" w:rsidRPr="00427703" w:rsidRDefault="00232BAC" w:rsidP="00232BAC">
      <w:pPr>
        <w:spacing w:line="360" w:lineRule="auto"/>
        <w:rPr>
          <w:rFonts w:ascii="Garamond" w:hAnsi="Garamond" w:cs="Tahoma"/>
          <w:color w:val="000000" w:themeColor="text1"/>
          <w:sz w:val="24"/>
          <w:szCs w:val="24"/>
        </w:rPr>
      </w:pPr>
    </w:p>
    <w:p w14:paraId="3370ECA3" w14:textId="20094948" w:rsidR="00232BAC" w:rsidRDefault="00232BAC" w:rsidP="00232BAC">
      <w:pPr>
        <w:spacing w:line="360" w:lineRule="auto"/>
        <w:rPr>
          <w:rFonts w:ascii="Garamond" w:hAnsi="Garamond" w:cs="Tahoma"/>
          <w:color w:val="000000" w:themeColor="text1"/>
          <w:sz w:val="24"/>
          <w:szCs w:val="24"/>
        </w:rPr>
      </w:pPr>
      <w:r w:rsidRPr="00427703">
        <w:rPr>
          <w:rFonts w:ascii="Garamond" w:hAnsi="Garamond" w:cs="Tahoma"/>
          <w:color w:val="000000" w:themeColor="text1"/>
          <w:sz w:val="24"/>
          <w:szCs w:val="24"/>
        </w:rPr>
        <w:t xml:space="preserve">requerendo-se </w:t>
      </w:r>
      <w:r w:rsidR="009E7ACE">
        <w:rPr>
          <w:rFonts w:ascii="Garamond" w:hAnsi="Garamond" w:cs="Tahoma"/>
          <w:color w:val="000000" w:themeColor="text1"/>
          <w:sz w:val="24"/>
          <w:szCs w:val="24"/>
        </w:rPr>
        <w:t>a remessa da anexa minuta</w:t>
      </w:r>
      <w:r w:rsidRPr="00427703">
        <w:rPr>
          <w:rFonts w:ascii="Garamond" w:hAnsi="Garamond" w:cs="Tahoma"/>
          <w:color w:val="000000" w:themeColor="text1"/>
          <w:sz w:val="24"/>
          <w:szCs w:val="24"/>
        </w:rPr>
        <w:t xml:space="preserve"> </w:t>
      </w:r>
      <w:r w:rsidR="009E7ACE">
        <w:rPr>
          <w:rFonts w:ascii="Garamond" w:hAnsi="Garamond" w:cs="Tahoma"/>
          <w:color w:val="000000" w:themeColor="text1"/>
          <w:sz w:val="24"/>
          <w:szCs w:val="24"/>
        </w:rPr>
        <w:t>a</w:t>
      </w:r>
      <w:r w:rsidRPr="00427703">
        <w:rPr>
          <w:rFonts w:ascii="Garamond" w:hAnsi="Garamond" w:cs="Tahoma"/>
          <w:color w:val="000000" w:themeColor="text1"/>
          <w:sz w:val="24"/>
          <w:szCs w:val="24"/>
        </w:rPr>
        <w:t>o Egrégio tribunal Regional do Trabalho da 18ª Região</w:t>
      </w:r>
      <w:r w:rsidR="009E7ACE">
        <w:rPr>
          <w:rFonts w:ascii="Garamond" w:hAnsi="Garamond" w:cs="Tahoma"/>
          <w:color w:val="000000" w:themeColor="text1"/>
          <w:sz w:val="24"/>
          <w:szCs w:val="24"/>
        </w:rPr>
        <w:t>, pelo que junta as peças necessárias a formação de instrumento descritas no art. 897, § 5º, I e II da CLT;</w:t>
      </w:r>
    </w:p>
    <w:p w14:paraId="1F4D1E0F" w14:textId="6C86E330" w:rsidR="009E7ACE" w:rsidRDefault="009E7ACE" w:rsidP="00232BAC">
      <w:pPr>
        <w:spacing w:line="360" w:lineRule="auto"/>
        <w:rPr>
          <w:rFonts w:ascii="Garamond" w:hAnsi="Garamond" w:cs="Tahoma"/>
          <w:color w:val="000000" w:themeColor="text1"/>
          <w:sz w:val="24"/>
          <w:szCs w:val="24"/>
        </w:rPr>
      </w:pPr>
    </w:p>
    <w:p w14:paraId="79C7BCB2" w14:textId="436AC97A" w:rsidR="00232BAC" w:rsidRPr="009E7ACE" w:rsidRDefault="009E7ACE" w:rsidP="009E7ACE">
      <w:pPr>
        <w:spacing w:line="360" w:lineRule="auto"/>
        <w:rPr>
          <w:rFonts w:ascii="Garamond" w:hAnsi="Garamond" w:cs="Tahoma"/>
          <w:color w:val="000000" w:themeColor="text1"/>
          <w:sz w:val="24"/>
          <w:szCs w:val="24"/>
        </w:rPr>
      </w:pPr>
      <w:r>
        <w:rPr>
          <w:rFonts w:ascii="Garamond" w:hAnsi="Garamond" w:cs="Tahoma"/>
          <w:color w:val="000000" w:themeColor="text1"/>
          <w:sz w:val="24"/>
          <w:szCs w:val="24"/>
        </w:rPr>
        <w:tab/>
        <w:t>Nesses termos pede e espera deferimento.</w:t>
      </w:r>
    </w:p>
    <w:p w14:paraId="0AEDEB95" w14:textId="372D886C" w:rsidR="00232BAC" w:rsidRPr="00427703" w:rsidRDefault="00C32F67" w:rsidP="00232BAC">
      <w:pPr>
        <w:pStyle w:val="NormalWeb"/>
        <w:shd w:val="clear" w:color="auto" w:fill="FFFFFF"/>
        <w:spacing w:before="240" w:after="300"/>
        <w:jc w:val="center"/>
        <w:rPr>
          <w:rFonts w:ascii="Garamond" w:hAnsi="Garamond"/>
          <w:b/>
        </w:rPr>
      </w:pPr>
      <w:r>
        <w:rPr>
          <w:rFonts w:ascii="Garamond" w:hAnsi="Garamond"/>
          <w:b/>
        </w:rPr>
        <w:t>ADVOGADO</w:t>
      </w:r>
    </w:p>
    <w:p w14:paraId="6D4DA835" w14:textId="535825EA" w:rsidR="00C632A9" w:rsidRDefault="00232BAC" w:rsidP="009E7ACE">
      <w:pPr>
        <w:pStyle w:val="NormalWeb"/>
        <w:shd w:val="clear" w:color="auto" w:fill="FFFFFF"/>
        <w:spacing w:before="240" w:after="300"/>
        <w:jc w:val="center"/>
        <w:rPr>
          <w:rFonts w:ascii="Garamond" w:hAnsi="Garamond"/>
          <w:b/>
        </w:rPr>
      </w:pPr>
      <w:r w:rsidRPr="00427703">
        <w:rPr>
          <w:rFonts w:ascii="Garamond" w:hAnsi="Garamond"/>
          <w:b/>
        </w:rPr>
        <w:t xml:space="preserve">OAB/GO </w:t>
      </w:r>
      <w:r w:rsidR="00C32F67">
        <w:rPr>
          <w:rFonts w:ascii="Garamond" w:hAnsi="Garamond"/>
          <w:b/>
        </w:rPr>
        <w:t>Nº</w:t>
      </w:r>
    </w:p>
    <w:p w14:paraId="77B363F0" w14:textId="380DD78A" w:rsidR="00C32F67" w:rsidRDefault="00C32F67" w:rsidP="009E7ACE">
      <w:pPr>
        <w:pStyle w:val="NormalWeb"/>
        <w:shd w:val="clear" w:color="auto" w:fill="FFFFFF"/>
        <w:spacing w:before="240" w:after="300"/>
        <w:jc w:val="center"/>
        <w:rPr>
          <w:rFonts w:ascii="Garamond" w:hAnsi="Garamond"/>
          <w:b/>
        </w:rPr>
      </w:pPr>
    </w:p>
    <w:p w14:paraId="06128B99" w14:textId="1082247B" w:rsidR="00C32F67" w:rsidRDefault="00C32F67" w:rsidP="009E7ACE">
      <w:pPr>
        <w:pStyle w:val="NormalWeb"/>
        <w:shd w:val="clear" w:color="auto" w:fill="FFFFFF"/>
        <w:spacing w:before="240" w:after="300"/>
        <w:jc w:val="center"/>
        <w:rPr>
          <w:rFonts w:ascii="Garamond" w:hAnsi="Garamond"/>
          <w:b/>
        </w:rPr>
      </w:pPr>
    </w:p>
    <w:p w14:paraId="6BBE497D" w14:textId="7E163332" w:rsidR="00C32F67" w:rsidRDefault="00C32F67" w:rsidP="009E7ACE">
      <w:pPr>
        <w:pStyle w:val="NormalWeb"/>
        <w:shd w:val="clear" w:color="auto" w:fill="FFFFFF"/>
        <w:spacing w:before="240" w:after="300"/>
        <w:jc w:val="center"/>
        <w:rPr>
          <w:rFonts w:ascii="Garamond" w:hAnsi="Garamond"/>
          <w:b/>
        </w:rPr>
      </w:pPr>
    </w:p>
    <w:p w14:paraId="34B70FDB" w14:textId="6DE826C9" w:rsidR="00C32F67" w:rsidRDefault="00C32F67" w:rsidP="009E7ACE">
      <w:pPr>
        <w:pStyle w:val="NormalWeb"/>
        <w:shd w:val="clear" w:color="auto" w:fill="FFFFFF"/>
        <w:spacing w:before="240" w:after="300"/>
        <w:jc w:val="center"/>
        <w:rPr>
          <w:rFonts w:ascii="Garamond" w:hAnsi="Garamond"/>
          <w:b/>
        </w:rPr>
      </w:pPr>
    </w:p>
    <w:p w14:paraId="7E24F23D" w14:textId="77777777" w:rsidR="00C32F67" w:rsidRPr="009E7ACE" w:rsidRDefault="00C32F67" w:rsidP="009E7ACE">
      <w:pPr>
        <w:pStyle w:val="NormalWeb"/>
        <w:shd w:val="clear" w:color="auto" w:fill="FFFFFF"/>
        <w:spacing w:before="240" w:after="300"/>
        <w:jc w:val="center"/>
        <w:rPr>
          <w:rFonts w:ascii="Garamond" w:hAnsi="Garamond"/>
          <w:b/>
        </w:rPr>
      </w:pPr>
    </w:p>
    <w:p w14:paraId="6CBF1F22" w14:textId="77777777" w:rsidR="00232BAC" w:rsidRPr="00427703" w:rsidRDefault="00232BAC" w:rsidP="00232BAC">
      <w:pPr>
        <w:spacing w:line="360" w:lineRule="auto"/>
        <w:jc w:val="center"/>
        <w:rPr>
          <w:rFonts w:ascii="Garamond" w:hAnsi="Garamond" w:cs="Tahoma"/>
          <w:b/>
          <w:color w:val="000000" w:themeColor="text1"/>
          <w:sz w:val="24"/>
          <w:szCs w:val="24"/>
        </w:rPr>
      </w:pPr>
      <w:r w:rsidRPr="00427703">
        <w:rPr>
          <w:rFonts w:ascii="Garamond" w:hAnsi="Garamond" w:cs="Tahoma"/>
          <w:b/>
          <w:color w:val="000000" w:themeColor="text1"/>
          <w:sz w:val="24"/>
          <w:szCs w:val="24"/>
        </w:rPr>
        <w:t>EGRÉGIO TRIBUNAL REGIONAL DO TRABALHO DA 18 ª REGIÃO</w:t>
      </w:r>
    </w:p>
    <w:p w14:paraId="7B1A4320" w14:textId="77777777" w:rsidR="00232BAC" w:rsidRPr="00427703" w:rsidRDefault="00232BAC" w:rsidP="00232BAC">
      <w:pPr>
        <w:spacing w:line="360" w:lineRule="auto"/>
        <w:jc w:val="center"/>
        <w:rPr>
          <w:rFonts w:ascii="Garamond" w:hAnsi="Garamond" w:cs="Tahoma"/>
          <w:b/>
          <w:color w:val="000000" w:themeColor="text1"/>
          <w:sz w:val="24"/>
          <w:szCs w:val="24"/>
        </w:rPr>
      </w:pPr>
      <w:r w:rsidRPr="00427703">
        <w:rPr>
          <w:rFonts w:ascii="Garamond" w:hAnsi="Garamond" w:cs="Tahoma"/>
          <w:b/>
          <w:color w:val="000000" w:themeColor="text1"/>
          <w:sz w:val="24"/>
          <w:szCs w:val="24"/>
        </w:rPr>
        <w:t>Eméritos Desembargadores</w:t>
      </w:r>
    </w:p>
    <w:p w14:paraId="398E127E" w14:textId="77777777" w:rsidR="00232BAC" w:rsidRPr="00427703" w:rsidRDefault="00232BAC" w:rsidP="00232BAC">
      <w:pPr>
        <w:spacing w:line="360" w:lineRule="auto"/>
        <w:jc w:val="center"/>
        <w:rPr>
          <w:rFonts w:ascii="Garamond" w:hAnsi="Garamond" w:cs="Tahoma"/>
          <w:b/>
          <w:color w:val="000000" w:themeColor="text1"/>
          <w:sz w:val="24"/>
          <w:szCs w:val="24"/>
        </w:rPr>
      </w:pPr>
      <w:r w:rsidRPr="00427703">
        <w:rPr>
          <w:rFonts w:ascii="Garamond" w:hAnsi="Garamond" w:cs="Tahoma"/>
          <w:b/>
          <w:color w:val="000000" w:themeColor="text1"/>
          <w:sz w:val="24"/>
          <w:szCs w:val="24"/>
        </w:rPr>
        <w:lastRenderedPageBreak/>
        <w:t>Douto Relator</w:t>
      </w:r>
    </w:p>
    <w:p w14:paraId="211EC9DD" w14:textId="3532F6D5" w:rsidR="009E7ACE" w:rsidRDefault="009E7ACE" w:rsidP="00232BAC">
      <w:pPr>
        <w:spacing w:line="360" w:lineRule="auto"/>
        <w:jc w:val="center"/>
        <w:rPr>
          <w:rFonts w:ascii="Garamond" w:hAnsi="Garamond" w:cs="Tahoma"/>
          <w:b/>
          <w:color w:val="000000" w:themeColor="text1"/>
          <w:sz w:val="24"/>
          <w:szCs w:val="24"/>
        </w:rPr>
      </w:pPr>
    </w:p>
    <w:p w14:paraId="7F341128" w14:textId="77777777" w:rsidR="009E7ACE" w:rsidRPr="00427703" w:rsidRDefault="009E7ACE" w:rsidP="00232BAC">
      <w:pPr>
        <w:spacing w:line="360" w:lineRule="auto"/>
        <w:jc w:val="center"/>
        <w:rPr>
          <w:rFonts w:ascii="Garamond" w:hAnsi="Garamond" w:cs="Tahoma"/>
          <w:b/>
          <w:color w:val="000000" w:themeColor="text1"/>
          <w:sz w:val="24"/>
          <w:szCs w:val="24"/>
        </w:rPr>
      </w:pPr>
    </w:p>
    <w:p w14:paraId="4242DC45" w14:textId="6D61E085" w:rsidR="009E7ACE" w:rsidRDefault="009E7ACE" w:rsidP="00232BAC">
      <w:pPr>
        <w:spacing w:line="360" w:lineRule="auto"/>
        <w:rPr>
          <w:rFonts w:ascii="Garamond" w:hAnsi="Garamond" w:cs="Tahoma"/>
          <w:color w:val="000000" w:themeColor="text1"/>
          <w:sz w:val="24"/>
          <w:szCs w:val="24"/>
        </w:rPr>
      </w:pPr>
      <w:r>
        <w:rPr>
          <w:rFonts w:ascii="Garamond" w:hAnsi="Garamond" w:cs="Tahoma"/>
          <w:color w:val="000000" w:themeColor="text1"/>
          <w:sz w:val="24"/>
          <w:szCs w:val="24"/>
        </w:rPr>
        <w:t>MINUTA DE AGRAVO DE INSTRUMENTO</w:t>
      </w:r>
    </w:p>
    <w:p w14:paraId="5EEF430E" w14:textId="77777777" w:rsidR="009E7ACE" w:rsidRDefault="009E7ACE" w:rsidP="00232BAC">
      <w:pPr>
        <w:spacing w:line="360" w:lineRule="auto"/>
        <w:rPr>
          <w:rFonts w:ascii="Garamond" w:hAnsi="Garamond" w:cs="Tahoma"/>
          <w:color w:val="000000" w:themeColor="text1"/>
          <w:sz w:val="24"/>
          <w:szCs w:val="24"/>
        </w:rPr>
      </w:pPr>
    </w:p>
    <w:p w14:paraId="2E5D1D09" w14:textId="37ADA355" w:rsidR="00232BAC" w:rsidRPr="00427703" w:rsidRDefault="00232BAC" w:rsidP="00232BAC">
      <w:pPr>
        <w:spacing w:line="360" w:lineRule="auto"/>
        <w:rPr>
          <w:rFonts w:ascii="Garamond" w:hAnsi="Garamond" w:cs="Tahoma"/>
          <w:color w:val="000000" w:themeColor="text1"/>
          <w:sz w:val="24"/>
          <w:szCs w:val="24"/>
        </w:rPr>
      </w:pPr>
      <w:r w:rsidRPr="00427703">
        <w:rPr>
          <w:rFonts w:ascii="Garamond" w:hAnsi="Garamond" w:cs="Tahoma"/>
          <w:color w:val="000000" w:themeColor="text1"/>
          <w:sz w:val="24"/>
          <w:szCs w:val="24"/>
        </w:rPr>
        <w:t>AUTOS Nº 1</w:t>
      </w:r>
      <w:r w:rsidR="00C32F67">
        <w:rPr>
          <w:rFonts w:ascii="Garamond" w:hAnsi="Garamond" w:cs="Tahoma"/>
          <w:color w:val="000000" w:themeColor="text1"/>
          <w:sz w:val="24"/>
          <w:szCs w:val="24"/>
        </w:rPr>
        <w:t>XXXX</w:t>
      </w:r>
      <w:r w:rsidRPr="00427703">
        <w:rPr>
          <w:rFonts w:ascii="Garamond" w:hAnsi="Garamond" w:cs="Tahoma"/>
          <w:color w:val="000000" w:themeColor="text1"/>
          <w:sz w:val="24"/>
          <w:szCs w:val="24"/>
        </w:rPr>
        <w:t>-</w:t>
      </w:r>
      <w:r w:rsidR="00C32F67">
        <w:rPr>
          <w:rFonts w:ascii="Garamond" w:hAnsi="Garamond" w:cs="Tahoma"/>
          <w:color w:val="000000" w:themeColor="text1"/>
          <w:sz w:val="24"/>
          <w:szCs w:val="24"/>
        </w:rPr>
        <w:t>XX</w:t>
      </w:r>
      <w:r w:rsidRPr="00427703">
        <w:rPr>
          <w:rFonts w:ascii="Garamond" w:hAnsi="Garamond" w:cs="Tahoma"/>
          <w:color w:val="000000" w:themeColor="text1"/>
          <w:sz w:val="24"/>
          <w:szCs w:val="24"/>
        </w:rPr>
        <w:t>.2018.5.18.0018</w:t>
      </w:r>
    </w:p>
    <w:p w14:paraId="452FA76E" w14:textId="1874862F" w:rsidR="00232BAC" w:rsidRPr="00427703" w:rsidRDefault="009E7ACE" w:rsidP="00232BAC">
      <w:pPr>
        <w:spacing w:line="360" w:lineRule="auto"/>
        <w:rPr>
          <w:rFonts w:ascii="Garamond" w:hAnsi="Garamond" w:cs="Tahoma"/>
          <w:color w:val="000000" w:themeColor="text1"/>
          <w:sz w:val="24"/>
          <w:szCs w:val="24"/>
        </w:rPr>
      </w:pPr>
      <w:r>
        <w:rPr>
          <w:rFonts w:ascii="Garamond" w:hAnsi="Garamond" w:cs="Tahoma"/>
          <w:color w:val="000000" w:themeColor="text1"/>
          <w:sz w:val="24"/>
          <w:szCs w:val="24"/>
        </w:rPr>
        <w:t>AGRAVANTE</w:t>
      </w:r>
      <w:r w:rsidR="00232BAC" w:rsidRPr="00427703">
        <w:rPr>
          <w:rFonts w:ascii="Garamond" w:hAnsi="Garamond" w:cs="Tahoma"/>
          <w:color w:val="000000" w:themeColor="text1"/>
          <w:sz w:val="24"/>
          <w:szCs w:val="24"/>
        </w:rPr>
        <w:t xml:space="preserve">: </w:t>
      </w:r>
      <w:r w:rsidR="00C32F67">
        <w:rPr>
          <w:rFonts w:ascii="Garamond" w:hAnsi="Garamond"/>
          <w:b/>
          <w:bCs/>
          <w:color w:val="000000"/>
          <w:sz w:val="24"/>
          <w:szCs w:val="24"/>
        </w:rPr>
        <w:t>__________________</w:t>
      </w:r>
    </w:p>
    <w:p w14:paraId="5036F389" w14:textId="63837991" w:rsidR="00232BAC" w:rsidRPr="00427703" w:rsidRDefault="009E7ACE" w:rsidP="00232BAC">
      <w:pPr>
        <w:spacing w:line="360" w:lineRule="auto"/>
        <w:rPr>
          <w:rFonts w:ascii="Garamond" w:hAnsi="Garamond" w:cs="Tahoma"/>
          <w:color w:val="000000" w:themeColor="text1"/>
          <w:sz w:val="24"/>
          <w:szCs w:val="24"/>
        </w:rPr>
      </w:pPr>
      <w:r>
        <w:rPr>
          <w:rFonts w:ascii="Garamond" w:hAnsi="Garamond" w:cs="Tahoma"/>
          <w:color w:val="000000" w:themeColor="text1"/>
          <w:sz w:val="24"/>
          <w:szCs w:val="24"/>
        </w:rPr>
        <w:t>AGRAVADOS</w:t>
      </w:r>
      <w:r w:rsidR="00232BAC" w:rsidRPr="00427703">
        <w:rPr>
          <w:rFonts w:ascii="Garamond" w:hAnsi="Garamond" w:cs="Tahoma"/>
          <w:color w:val="000000" w:themeColor="text1"/>
          <w:sz w:val="24"/>
          <w:szCs w:val="24"/>
        </w:rPr>
        <w:t xml:space="preserve">: </w:t>
      </w:r>
      <w:r w:rsidR="00C32F67">
        <w:rPr>
          <w:rFonts w:ascii="Garamond" w:hAnsi="Garamond"/>
          <w:b/>
          <w:sz w:val="24"/>
          <w:szCs w:val="24"/>
        </w:rPr>
        <w:t>______________________</w:t>
      </w:r>
    </w:p>
    <w:p w14:paraId="6729C108" w14:textId="4A8BCA7B" w:rsidR="00232BAC" w:rsidRPr="00427703" w:rsidRDefault="00232BAC" w:rsidP="00232BAC">
      <w:pPr>
        <w:spacing w:line="360" w:lineRule="auto"/>
        <w:rPr>
          <w:rFonts w:ascii="Garamond" w:hAnsi="Garamond" w:cs="Tahoma"/>
          <w:color w:val="000000" w:themeColor="text1"/>
          <w:sz w:val="24"/>
          <w:szCs w:val="24"/>
        </w:rPr>
      </w:pPr>
    </w:p>
    <w:p w14:paraId="0B595B23" w14:textId="77777777" w:rsidR="00232BAC" w:rsidRPr="00427703" w:rsidRDefault="00232BAC" w:rsidP="00232BAC">
      <w:pPr>
        <w:spacing w:line="360" w:lineRule="auto"/>
        <w:rPr>
          <w:rFonts w:ascii="Garamond" w:hAnsi="Garamond" w:cs="Tahoma"/>
          <w:color w:val="000000" w:themeColor="text1"/>
          <w:sz w:val="24"/>
          <w:szCs w:val="24"/>
        </w:rPr>
      </w:pPr>
    </w:p>
    <w:p w14:paraId="3A1591B0" w14:textId="77777777" w:rsidR="00427703" w:rsidRPr="00427703" w:rsidRDefault="00427703" w:rsidP="00232BAC">
      <w:pPr>
        <w:spacing w:line="360" w:lineRule="auto"/>
        <w:rPr>
          <w:rFonts w:ascii="Garamond" w:hAnsi="Garamond" w:cs="Tahoma"/>
          <w:color w:val="000000" w:themeColor="text1"/>
          <w:sz w:val="24"/>
          <w:szCs w:val="24"/>
        </w:rPr>
      </w:pPr>
    </w:p>
    <w:p w14:paraId="52DCDAC5" w14:textId="1558112C" w:rsidR="009E7ACE" w:rsidRDefault="009E7ACE" w:rsidP="00232BAC">
      <w:pPr>
        <w:pStyle w:val="NormalWeb"/>
        <w:spacing w:line="360" w:lineRule="auto"/>
        <w:jc w:val="both"/>
        <w:rPr>
          <w:rFonts w:ascii="Garamond" w:hAnsi="Garamond" w:cs="Arial"/>
          <w:b/>
          <w:color w:val="000000"/>
        </w:rPr>
      </w:pPr>
      <w:r w:rsidRPr="009E7ACE">
        <w:rPr>
          <w:rFonts w:ascii="Garamond" w:hAnsi="Garamond" w:cs="Arial"/>
          <w:b/>
          <w:color w:val="000000"/>
        </w:rPr>
        <w:t>HISTÓRICO PROCESSUAL</w:t>
      </w:r>
    </w:p>
    <w:p w14:paraId="6E978EB6" w14:textId="474AD221" w:rsidR="009E7ACE" w:rsidRDefault="009E7ACE" w:rsidP="00232BAC">
      <w:pPr>
        <w:pStyle w:val="NormalWeb"/>
        <w:spacing w:line="360" w:lineRule="auto"/>
        <w:jc w:val="both"/>
        <w:rPr>
          <w:rFonts w:ascii="Garamond" w:hAnsi="Garamond" w:cs="Arial"/>
          <w:b/>
          <w:color w:val="000000"/>
        </w:rPr>
      </w:pPr>
    </w:p>
    <w:p w14:paraId="1C6C1920" w14:textId="4F730577" w:rsidR="009E7ACE" w:rsidRDefault="009E7ACE" w:rsidP="00232BAC">
      <w:pPr>
        <w:pStyle w:val="NormalWeb"/>
        <w:spacing w:line="360" w:lineRule="auto"/>
        <w:jc w:val="both"/>
        <w:rPr>
          <w:rFonts w:ascii="Garamond" w:hAnsi="Garamond" w:cs="Arial"/>
          <w:color w:val="000000"/>
        </w:rPr>
      </w:pPr>
      <w:r>
        <w:rPr>
          <w:rFonts w:ascii="Garamond" w:hAnsi="Garamond" w:cs="Arial"/>
          <w:b/>
          <w:color w:val="000000"/>
        </w:rPr>
        <w:tab/>
      </w:r>
      <w:r>
        <w:rPr>
          <w:rFonts w:ascii="Garamond" w:hAnsi="Garamond" w:cs="Arial"/>
          <w:color w:val="000000"/>
        </w:rPr>
        <w:t>O agravante ingressou com Reclamação Trabalhista, perante as agravadas, pugnando pelo reconhecimento de vínculo de trabalho, verbas salariais não pagas, e pugnou pelo benefício da assistência judiciária.</w:t>
      </w:r>
    </w:p>
    <w:p w14:paraId="7E690A9E" w14:textId="2B085D39" w:rsidR="009E7ACE" w:rsidRDefault="009E7ACE" w:rsidP="00232BAC">
      <w:pPr>
        <w:pStyle w:val="NormalWeb"/>
        <w:spacing w:line="360" w:lineRule="auto"/>
        <w:jc w:val="both"/>
        <w:rPr>
          <w:rFonts w:ascii="Garamond" w:hAnsi="Garamond" w:cs="Arial"/>
          <w:color w:val="000000"/>
        </w:rPr>
      </w:pPr>
      <w:r>
        <w:rPr>
          <w:rFonts w:ascii="Garamond" w:hAnsi="Garamond" w:cs="Arial"/>
          <w:color w:val="000000"/>
        </w:rPr>
        <w:tab/>
        <w:t xml:space="preserve">Instruído o processo, fora proferida sentença julgando improcedente o vínculo, </w:t>
      </w:r>
      <w:r w:rsidR="007451E0">
        <w:rPr>
          <w:rFonts w:ascii="Garamond" w:hAnsi="Garamond" w:cs="Arial"/>
          <w:color w:val="000000"/>
        </w:rPr>
        <w:t>o que originou a interposição do recurso ordinário, cujo seguimento foi denegado.</w:t>
      </w:r>
    </w:p>
    <w:p w14:paraId="7AED18A3" w14:textId="512EA93F" w:rsidR="007451E0" w:rsidRDefault="007451E0" w:rsidP="00232BAC">
      <w:pPr>
        <w:pStyle w:val="NormalWeb"/>
        <w:spacing w:line="360" w:lineRule="auto"/>
        <w:jc w:val="both"/>
        <w:rPr>
          <w:rFonts w:ascii="Garamond" w:hAnsi="Garamond" w:cs="Arial"/>
          <w:color w:val="000000"/>
        </w:rPr>
      </w:pPr>
      <w:r>
        <w:rPr>
          <w:rFonts w:ascii="Garamond" w:hAnsi="Garamond" w:cs="Arial"/>
          <w:color w:val="000000"/>
        </w:rPr>
        <w:tab/>
        <w:t>No entanto, referida decisão não merece prosperar, pois inteiramente divorciada dos preceitos legais, e julgados deste colendo colegiado, vejamos:</w:t>
      </w:r>
    </w:p>
    <w:p w14:paraId="061FBC9E" w14:textId="77777777" w:rsidR="007451E0" w:rsidRPr="009E7ACE" w:rsidRDefault="007451E0" w:rsidP="00232BAC">
      <w:pPr>
        <w:pStyle w:val="NormalWeb"/>
        <w:spacing w:line="360" w:lineRule="auto"/>
        <w:jc w:val="both"/>
        <w:rPr>
          <w:rFonts w:ascii="Garamond" w:hAnsi="Garamond" w:cs="Arial"/>
          <w:color w:val="000000"/>
        </w:rPr>
      </w:pPr>
    </w:p>
    <w:p w14:paraId="39074CB7" w14:textId="7BA8DD1B" w:rsidR="00232BAC" w:rsidRPr="00427703" w:rsidRDefault="007451E0" w:rsidP="00232BAC">
      <w:pPr>
        <w:pStyle w:val="NormalWeb"/>
        <w:spacing w:line="360" w:lineRule="auto"/>
        <w:jc w:val="both"/>
        <w:rPr>
          <w:rFonts w:ascii="Garamond" w:hAnsi="Garamond" w:cs="Arial"/>
          <w:color w:val="000000"/>
        </w:rPr>
      </w:pPr>
      <w:r>
        <w:rPr>
          <w:rFonts w:ascii="Garamond" w:hAnsi="Garamond" w:cs="Arial"/>
          <w:color w:val="000000"/>
          <w:u w:val="single"/>
        </w:rPr>
        <w:t xml:space="preserve">DA </w:t>
      </w:r>
      <w:r w:rsidR="00232BAC" w:rsidRPr="00427703">
        <w:rPr>
          <w:rFonts w:ascii="Garamond" w:hAnsi="Garamond" w:cs="Arial"/>
          <w:color w:val="000000"/>
          <w:u w:val="single"/>
        </w:rPr>
        <w:t>JUSTIÇA GRATUITA</w:t>
      </w:r>
      <w:r w:rsidR="00232BAC" w:rsidRPr="00427703">
        <w:rPr>
          <w:rFonts w:ascii="Garamond" w:hAnsi="Garamond" w:cs="Arial"/>
          <w:color w:val="000000"/>
        </w:rPr>
        <w:t>:</w:t>
      </w:r>
    </w:p>
    <w:p w14:paraId="1CDF302F" w14:textId="0FF83B5F" w:rsidR="007451E0" w:rsidRDefault="007451E0" w:rsidP="00232BAC">
      <w:pPr>
        <w:ind w:firstLine="360"/>
        <w:rPr>
          <w:rFonts w:ascii="Garamond" w:hAnsi="Garamond" w:cs="Arial"/>
          <w:color w:val="000000" w:themeColor="text1"/>
          <w:sz w:val="24"/>
          <w:szCs w:val="24"/>
        </w:rPr>
      </w:pPr>
      <w:r>
        <w:rPr>
          <w:rFonts w:ascii="Garamond" w:hAnsi="Garamond" w:cs="Arial"/>
          <w:color w:val="000000" w:themeColor="text1"/>
          <w:sz w:val="24"/>
          <w:szCs w:val="24"/>
        </w:rPr>
        <w:t>Como mencionado, em conjunto aos pedidos da inicial, o agravante também requereu a concessão dos benefícios da assistência judiciária gratuita, instruindo com a pertinente declaração, e provas.</w:t>
      </w:r>
    </w:p>
    <w:p w14:paraId="410A746B" w14:textId="4920FC98" w:rsidR="007451E0" w:rsidRDefault="007451E0" w:rsidP="00232BAC">
      <w:pPr>
        <w:ind w:firstLine="360"/>
        <w:rPr>
          <w:rFonts w:ascii="Garamond" w:hAnsi="Garamond" w:cs="Arial"/>
          <w:color w:val="000000" w:themeColor="text1"/>
          <w:sz w:val="24"/>
          <w:szCs w:val="24"/>
        </w:rPr>
      </w:pPr>
    </w:p>
    <w:p w14:paraId="11873740" w14:textId="45375D96" w:rsidR="007451E0" w:rsidRDefault="007451E0" w:rsidP="00232BAC">
      <w:pPr>
        <w:ind w:firstLine="360"/>
        <w:rPr>
          <w:rFonts w:ascii="Garamond" w:hAnsi="Garamond" w:cs="Arial"/>
          <w:color w:val="000000" w:themeColor="text1"/>
          <w:sz w:val="24"/>
          <w:szCs w:val="24"/>
        </w:rPr>
      </w:pPr>
      <w:r>
        <w:rPr>
          <w:rFonts w:ascii="Garamond" w:hAnsi="Garamond" w:cs="Arial"/>
          <w:color w:val="000000" w:themeColor="text1"/>
          <w:sz w:val="24"/>
          <w:szCs w:val="24"/>
        </w:rPr>
        <w:t>Em razão de seu indeferimento, o agravante teve seu recurso deserto, o que lhe veda o acesso ao Duplo Grau de Jurisdição e a consequente reapreciação meritória, qual se faz necessária.</w:t>
      </w:r>
    </w:p>
    <w:p w14:paraId="4B7955D1" w14:textId="77777777" w:rsidR="007451E0" w:rsidRDefault="007451E0" w:rsidP="00232BAC">
      <w:pPr>
        <w:ind w:firstLine="360"/>
        <w:rPr>
          <w:rFonts w:ascii="Garamond" w:hAnsi="Garamond" w:cs="Arial"/>
          <w:color w:val="000000" w:themeColor="text1"/>
          <w:sz w:val="24"/>
          <w:szCs w:val="24"/>
        </w:rPr>
      </w:pPr>
    </w:p>
    <w:p w14:paraId="6816E218" w14:textId="4F617F30" w:rsidR="00232BAC" w:rsidRPr="00427703" w:rsidRDefault="00232BAC" w:rsidP="00232BAC">
      <w:pPr>
        <w:ind w:firstLine="360"/>
        <w:rPr>
          <w:sz w:val="24"/>
          <w:szCs w:val="24"/>
        </w:rPr>
      </w:pPr>
      <w:r w:rsidRPr="00427703">
        <w:rPr>
          <w:rFonts w:ascii="Garamond" w:hAnsi="Garamond" w:cs="Arial"/>
          <w:color w:val="000000" w:themeColor="text1"/>
          <w:sz w:val="24"/>
          <w:szCs w:val="24"/>
        </w:rPr>
        <w:t xml:space="preserve">Tendo em vista a aplicação supletiva e subsidiária do Código de Processo Civil, pertinente se faz o artigo 98, § 1º, VIII, do Novo Código de Processo Civil, prevê o Direito a gratuidade da Justiça ante o processamento de recursos e quaisquer atos processuais, inerentes ao exercício da ampla defesa e do contraditório, bem como o artigo 99, qual preleciona que o benefício pode ser </w:t>
      </w:r>
      <w:r w:rsidRPr="00427703">
        <w:rPr>
          <w:rFonts w:ascii="Garamond" w:hAnsi="Garamond" w:cs="Arial"/>
          <w:color w:val="000000" w:themeColor="text1"/>
          <w:sz w:val="24"/>
          <w:szCs w:val="24"/>
        </w:rPr>
        <w:lastRenderedPageBreak/>
        <w:t>requerido e concedido a qualquer momento processual, neste sentido, pugna pelo deferimento da isenção do depósito recursal para o processamento d</w:t>
      </w:r>
      <w:r w:rsidR="007451E0">
        <w:rPr>
          <w:rFonts w:ascii="Garamond" w:hAnsi="Garamond" w:cs="Arial"/>
          <w:color w:val="000000" w:themeColor="text1"/>
          <w:sz w:val="24"/>
          <w:szCs w:val="24"/>
        </w:rPr>
        <w:t xml:space="preserve">e </w:t>
      </w:r>
      <w:r w:rsidRPr="00427703">
        <w:rPr>
          <w:rFonts w:ascii="Garamond" w:hAnsi="Garamond" w:cs="Arial"/>
          <w:color w:val="000000" w:themeColor="text1"/>
          <w:sz w:val="24"/>
          <w:szCs w:val="24"/>
        </w:rPr>
        <w:t>Recurso Ordinário.</w:t>
      </w:r>
    </w:p>
    <w:p w14:paraId="50EC95D9" w14:textId="77777777" w:rsidR="00232BAC" w:rsidRPr="00427703" w:rsidRDefault="00232BAC" w:rsidP="00232BAC">
      <w:pPr>
        <w:spacing w:line="360" w:lineRule="auto"/>
        <w:ind w:firstLine="360"/>
        <w:rPr>
          <w:rFonts w:ascii="Garamond" w:hAnsi="Garamond" w:cs="Arial"/>
          <w:color w:val="000000" w:themeColor="text1"/>
          <w:sz w:val="24"/>
          <w:szCs w:val="24"/>
        </w:rPr>
      </w:pPr>
      <w:r w:rsidRPr="00427703">
        <w:rPr>
          <w:rFonts w:ascii="Garamond" w:hAnsi="Garamond" w:cs="Arial"/>
          <w:color w:val="000000" w:themeColor="text1"/>
          <w:sz w:val="24"/>
          <w:szCs w:val="24"/>
        </w:rPr>
        <w:tab/>
      </w:r>
    </w:p>
    <w:p w14:paraId="1F3D8B96" w14:textId="77777777" w:rsidR="00232BAC" w:rsidRPr="00427703" w:rsidRDefault="00232BAC" w:rsidP="00232BAC">
      <w:pPr>
        <w:spacing w:line="360" w:lineRule="auto"/>
        <w:ind w:firstLine="360"/>
        <w:rPr>
          <w:rFonts w:ascii="Garamond" w:hAnsi="Garamond" w:cs="Arial"/>
          <w:sz w:val="24"/>
          <w:szCs w:val="24"/>
        </w:rPr>
      </w:pPr>
      <w:r w:rsidRPr="00427703">
        <w:rPr>
          <w:rFonts w:ascii="Garamond" w:hAnsi="Garamond" w:cs="Arial"/>
          <w:sz w:val="24"/>
          <w:szCs w:val="24"/>
        </w:rPr>
        <w:t xml:space="preserve">Pugna o autor pelos benefícios quais proclama o instituto da Assistência Judiciária, uma vez que não detém possibilidade financeira capaz de arcar com o custeio das altas despesas judiciais inerentes a presente demanda sem prejuízo de seu sustento e de sua família, tendo em vista que possui </w:t>
      </w:r>
      <w:r w:rsidRPr="00427703">
        <w:rPr>
          <w:rFonts w:ascii="Garamond" w:hAnsi="Garamond" w:cs="Arial"/>
          <w:b/>
          <w:sz w:val="24"/>
          <w:szCs w:val="24"/>
        </w:rPr>
        <w:t xml:space="preserve">alto gasto mensal com sua família (esposa e três filhos) e são todos totalmente dependentes do recorrente, </w:t>
      </w:r>
      <w:r w:rsidRPr="00427703">
        <w:rPr>
          <w:rFonts w:ascii="Garamond" w:hAnsi="Garamond" w:cs="Arial"/>
          <w:sz w:val="24"/>
          <w:szCs w:val="24"/>
        </w:rPr>
        <w:t>conforme documentos anexos.</w:t>
      </w:r>
    </w:p>
    <w:p w14:paraId="1720C699" w14:textId="45DBA085" w:rsidR="00232BAC" w:rsidRPr="00427703" w:rsidRDefault="00232BAC" w:rsidP="00232BAC">
      <w:pPr>
        <w:spacing w:line="360" w:lineRule="auto"/>
        <w:ind w:firstLine="360"/>
        <w:rPr>
          <w:rFonts w:ascii="Garamond" w:hAnsi="Garamond" w:cs="Arial"/>
          <w:sz w:val="24"/>
          <w:szCs w:val="24"/>
        </w:rPr>
      </w:pPr>
      <w:r w:rsidRPr="00427703">
        <w:rPr>
          <w:rFonts w:ascii="Garamond" w:hAnsi="Garamond" w:cs="Arial"/>
          <w:sz w:val="24"/>
          <w:szCs w:val="24"/>
        </w:rPr>
        <w:tab/>
      </w:r>
    </w:p>
    <w:p w14:paraId="5F6F8B89" w14:textId="77777777" w:rsidR="00232BAC" w:rsidRPr="00427703" w:rsidRDefault="00232BAC" w:rsidP="00232BAC">
      <w:pPr>
        <w:spacing w:line="360" w:lineRule="auto"/>
        <w:ind w:firstLine="360"/>
        <w:rPr>
          <w:rFonts w:ascii="Garamond" w:hAnsi="Garamond" w:cs="Arial"/>
          <w:sz w:val="24"/>
          <w:szCs w:val="24"/>
        </w:rPr>
      </w:pPr>
    </w:p>
    <w:p w14:paraId="5548EA33" w14:textId="27DBE1E6" w:rsidR="00232BAC" w:rsidRPr="00427703" w:rsidRDefault="00232BAC" w:rsidP="007451E0">
      <w:pPr>
        <w:spacing w:line="360" w:lineRule="auto"/>
        <w:ind w:firstLine="360"/>
        <w:rPr>
          <w:rFonts w:ascii="Garamond" w:hAnsi="Garamond" w:cs="Arial"/>
          <w:sz w:val="24"/>
          <w:szCs w:val="24"/>
        </w:rPr>
      </w:pPr>
      <w:r w:rsidRPr="00427703">
        <w:rPr>
          <w:rFonts w:ascii="Garamond" w:hAnsi="Garamond" w:cs="Arial"/>
          <w:sz w:val="24"/>
          <w:szCs w:val="24"/>
        </w:rPr>
        <w:t>Assim faz jus ao texto do artigo 4º da Lei 1060/1950, onde preconiza que a autora poderá requerer a concessão da assistência mediante simples alegação (declaração anexa). Ademais a própria causa demonstra a situação d</w:t>
      </w:r>
      <w:r w:rsidR="007451E0">
        <w:rPr>
          <w:rFonts w:ascii="Garamond" w:hAnsi="Garamond" w:cs="Arial"/>
          <w:sz w:val="24"/>
          <w:szCs w:val="24"/>
        </w:rPr>
        <w:t>o</w:t>
      </w:r>
      <w:r w:rsidRPr="00427703">
        <w:rPr>
          <w:rFonts w:ascii="Garamond" w:hAnsi="Garamond" w:cs="Arial"/>
          <w:sz w:val="24"/>
          <w:szCs w:val="24"/>
        </w:rPr>
        <w:t xml:space="preserve"> autor, agindo a mesma de boa-fé além da verossimilhança dos fatos.</w:t>
      </w:r>
    </w:p>
    <w:p w14:paraId="694D81CA" w14:textId="77777777" w:rsidR="00232BAC" w:rsidRPr="00427703" w:rsidRDefault="00232BAC" w:rsidP="00232BAC">
      <w:pPr>
        <w:spacing w:line="360" w:lineRule="auto"/>
        <w:rPr>
          <w:rFonts w:ascii="Garamond" w:hAnsi="Garamond" w:cs="Arial"/>
          <w:sz w:val="24"/>
          <w:szCs w:val="24"/>
        </w:rPr>
      </w:pPr>
    </w:p>
    <w:p w14:paraId="5D79055D" w14:textId="0D0B7ECD" w:rsidR="00232BAC" w:rsidRPr="00427703" w:rsidRDefault="00232BAC" w:rsidP="00232BAC">
      <w:pPr>
        <w:spacing w:line="360" w:lineRule="auto"/>
        <w:ind w:left="2268"/>
        <w:rPr>
          <w:rFonts w:ascii="Garamond" w:hAnsi="Garamond" w:cs="Arial"/>
          <w:color w:val="000000"/>
          <w:sz w:val="24"/>
          <w:szCs w:val="24"/>
          <w:shd w:val="clear" w:color="auto" w:fill="FFFFFF"/>
        </w:rPr>
      </w:pPr>
      <w:r w:rsidRPr="00427703">
        <w:rPr>
          <w:rFonts w:ascii="Garamond" w:hAnsi="Garamond" w:cs="Arial"/>
          <w:color w:val="000000"/>
          <w:sz w:val="24"/>
          <w:szCs w:val="24"/>
          <w:shd w:val="clear" w:color="auto" w:fill="FFFFFF"/>
        </w:rPr>
        <w:t>“Art. 4º. A parte gozará dos benefícios da assistência judiciária, mediante simples afirmação, na própria petição inicial, de que não está em condições de pagar as custas do processo e os honorários de advogado, sem prejuízo próprio ou de sua família. ”</w:t>
      </w:r>
    </w:p>
    <w:p w14:paraId="143854C3" w14:textId="730CBBFC" w:rsidR="007451E0" w:rsidRPr="00427703" w:rsidRDefault="007451E0" w:rsidP="007451E0">
      <w:pPr>
        <w:spacing w:line="360" w:lineRule="auto"/>
        <w:ind w:firstLine="708"/>
        <w:rPr>
          <w:rFonts w:ascii="Garamond" w:hAnsi="Garamond" w:cs="Arial"/>
          <w:sz w:val="24"/>
          <w:szCs w:val="24"/>
        </w:rPr>
      </w:pPr>
      <w:r w:rsidRPr="00427703">
        <w:rPr>
          <w:rFonts w:ascii="Garamond" w:hAnsi="Garamond" w:cs="Arial"/>
          <w:sz w:val="24"/>
          <w:szCs w:val="24"/>
        </w:rPr>
        <w:t>Pelo exposto requer a concessão dos benefícios da justiça gratuita que implica na isenção do pagamento de despesas processuais previstas no artigo 3º da Lei 1060/50.</w:t>
      </w:r>
    </w:p>
    <w:p w14:paraId="2BAFDD8B" w14:textId="77777777" w:rsidR="007451E0" w:rsidRDefault="007451E0" w:rsidP="0095286C">
      <w:pPr>
        <w:spacing w:line="360" w:lineRule="auto"/>
        <w:rPr>
          <w:rFonts w:ascii="Garamond" w:hAnsi="Garamond" w:cs="Arial"/>
          <w:sz w:val="24"/>
          <w:szCs w:val="24"/>
        </w:rPr>
      </w:pPr>
    </w:p>
    <w:p w14:paraId="785C9E78" w14:textId="0281177A" w:rsidR="007451E0" w:rsidRDefault="007451E0" w:rsidP="0095286C">
      <w:pPr>
        <w:spacing w:line="360" w:lineRule="auto"/>
        <w:rPr>
          <w:rFonts w:ascii="Garamond" w:hAnsi="Garamond" w:cs="Arial"/>
          <w:b/>
          <w:sz w:val="24"/>
          <w:szCs w:val="24"/>
        </w:rPr>
      </w:pPr>
      <w:r>
        <w:rPr>
          <w:rFonts w:ascii="Garamond" w:hAnsi="Garamond" w:cs="Arial"/>
          <w:b/>
          <w:sz w:val="24"/>
          <w:szCs w:val="24"/>
        </w:rPr>
        <w:t>DO MÉRITO</w:t>
      </w:r>
    </w:p>
    <w:p w14:paraId="2D6E682E" w14:textId="134F5865" w:rsidR="007451E0" w:rsidRDefault="007451E0" w:rsidP="0095286C">
      <w:pPr>
        <w:spacing w:line="360" w:lineRule="auto"/>
        <w:rPr>
          <w:rFonts w:ascii="Garamond" w:hAnsi="Garamond" w:cs="Arial"/>
          <w:b/>
          <w:sz w:val="24"/>
          <w:szCs w:val="24"/>
        </w:rPr>
      </w:pPr>
    </w:p>
    <w:p w14:paraId="65FEE34C" w14:textId="47C0BDCA" w:rsidR="000024DE" w:rsidRDefault="000024DE" w:rsidP="0095286C">
      <w:pPr>
        <w:spacing w:line="360" w:lineRule="auto"/>
        <w:rPr>
          <w:rFonts w:ascii="Garamond" w:hAnsi="Garamond" w:cs="Arial"/>
          <w:sz w:val="24"/>
          <w:szCs w:val="24"/>
        </w:rPr>
      </w:pPr>
      <w:r>
        <w:rPr>
          <w:rFonts w:ascii="Garamond" w:hAnsi="Garamond" w:cs="Arial"/>
          <w:b/>
          <w:sz w:val="24"/>
          <w:szCs w:val="24"/>
        </w:rPr>
        <w:tab/>
      </w:r>
      <w:r>
        <w:rPr>
          <w:rFonts w:ascii="Garamond" w:hAnsi="Garamond" w:cs="Arial"/>
          <w:sz w:val="24"/>
          <w:szCs w:val="24"/>
        </w:rPr>
        <w:t xml:space="preserve">O douto Colegiado do Tribunal Regional do Trabalho da 18ª Região, vem sendo </w:t>
      </w:r>
      <w:r w:rsidR="00655F96">
        <w:rPr>
          <w:rFonts w:ascii="Garamond" w:hAnsi="Garamond" w:cs="Arial"/>
          <w:sz w:val="24"/>
          <w:szCs w:val="24"/>
        </w:rPr>
        <w:t>firme e certeiro em suas decisões, no sentido de que, a assistência judiciária, pode ser pedida a qualquer tempo, sendo possível até mesmo para empresas reclamadas, sendo para tanto observado critérios e provas quais demonstrem a situação de necessidade, no presente caso, vemos que o Reclamante, pugnou pelos benefícios da assistência judiciária em sua peça exordial, não lhe sendo concedida em sede de sentença, assim pleiteou novamente a assistência em sede de Recurso Ordinário, a ser analisado pelo ilustre relator em sede de 2º Grau, juntando ainda diversas provas a respeito da necessidade da concessão do benefício.</w:t>
      </w:r>
    </w:p>
    <w:p w14:paraId="483DB989" w14:textId="03039DBB" w:rsidR="00655F96" w:rsidRDefault="00655F96" w:rsidP="0095286C">
      <w:pPr>
        <w:spacing w:line="360" w:lineRule="auto"/>
        <w:rPr>
          <w:rFonts w:ascii="Garamond" w:hAnsi="Garamond" w:cs="Arial"/>
          <w:sz w:val="24"/>
          <w:szCs w:val="24"/>
        </w:rPr>
      </w:pPr>
    </w:p>
    <w:p w14:paraId="3CC6C40F" w14:textId="023F4126" w:rsidR="00655F96" w:rsidRDefault="00655F96" w:rsidP="0095286C">
      <w:pPr>
        <w:spacing w:line="360" w:lineRule="auto"/>
        <w:rPr>
          <w:rFonts w:ascii="Garamond" w:hAnsi="Garamond" w:cs="Arial"/>
          <w:sz w:val="24"/>
          <w:szCs w:val="24"/>
        </w:rPr>
      </w:pPr>
      <w:r>
        <w:rPr>
          <w:rFonts w:ascii="Garamond" w:hAnsi="Garamond" w:cs="Arial"/>
          <w:sz w:val="24"/>
          <w:szCs w:val="24"/>
        </w:rPr>
        <w:lastRenderedPageBreak/>
        <w:tab/>
        <w:t>Podemos concluir, que a mudança arguida pela Reforma Trabalhista, busca a análise caso a caso, para a concessão da Assistência Judiciária e não uma forma de se limitar o acesso ao judiciário, salário alto não condiz com situação financeira da pessoa, ora pode muito bem o trabalhador possuir salário superior a 02 salários mínimos, porém arcar com ônus de sustento de toda uma família, como se faz no presente caso, sendo demonstrado inclusive por declaração de imposto renda, acostado nos autos, qual instrui ainda o Recurso Ordinário.</w:t>
      </w:r>
    </w:p>
    <w:p w14:paraId="4FB30E0B" w14:textId="77777777" w:rsidR="00655F96" w:rsidRPr="000024DE" w:rsidRDefault="00655F96" w:rsidP="0095286C">
      <w:pPr>
        <w:spacing w:line="360" w:lineRule="auto"/>
        <w:rPr>
          <w:rFonts w:ascii="Garamond" w:hAnsi="Garamond" w:cs="Arial"/>
          <w:sz w:val="24"/>
          <w:szCs w:val="24"/>
        </w:rPr>
      </w:pPr>
    </w:p>
    <w:p w14:paraId="41DBCB40" w14:textId="1865175D" w:rsidR="00232BAC" w:rsidRDefault="00232BAC" w:rsidP="007451E0">
      <w:pPr>
        <w:spacing w:line="360" w:lineRule="auto"/>
        <w:ind w:firstLine="708"/>
        <w:rPr>
          <w:rFonts w:ascii="Garamond" w:hAnsi="Garamond" w:cs="Arial"/>
          <w:sz w:val="24"/>
          <w:szCs w:val="24"/>
        </w:rPr>
      </w:pPr>
      <w:r w:rsidRPr="00427703">
        <w:rPr>
          <w:rFonts w:ascii="Garamond" w:hAnsi="Garamond" w:cs="Arial"/>
          <w:sz w:val="24"/>
          <w:szCs w:val="24"/>
        </w:rPr>
        <w:t>Ainda neste sentido vem sendo julgado pelos Tribunais Pátreos a possibilidade de isenção de custas recursais ante a comprovação da necessidade do benefício da assistência judiciária, vejamos:</w:t>
      </w:r>
    </w:p>
    <w:p w14:paraId="171520F6" w14:textId="77777777" w:rsidR="00990027" w:rsidRPr="00990027" w:rsidRDefault="00990027" w:rsidP="00990027">
      <w:pPr>
        <w:suppressAutoHyphens w:val="0"/>
        <w:overflowPunct/>
        <w:autoSpaceDE/>
        <w:autoSpaceDN/>
        <w:adjustRightInd/>
        <w:spacing w:line="240" w:lineRule="auto"/>
        <w:ind w:left="1416" w:firstLine="708"/>
        <w:textAlignment w:val="auto"/>
        <w:rPr>
          <w:rFonts w:ascii="Garamond" w:hAnsi="Garamond"/>
          <w:color w:val="000000" w:themeColor="text1"/>
          <w:kern w:val="0"/>
          <w:sz w:val="24"/>
          <w:szCs w:val="24"/>
          <w:shd w:val="clear" w:color="auto" w:fill="EFEFEF"/>
        </w:rPr>
      </w:pPr>
      <w:r w:rsidRPr="00990027">
        <w:rPr>
          <w:rFonts w:ascii="Garamond" w:hAnsi="Garamond"/>
          <w:color w:val="000000" w:themeColor="text1"/>
          <w:kern w:val="0"/>
          <w:sz w:val="24"/>
          <w:szCs w:val="24"/>
          <w:shd w:val="clear" w:color="auto" w:fill="EFEFEF"/>
        </w:rPr>
        <w:t xml:space="preserve">"(...) JUSTIÇA GRATUITA O fato de a Reclamante ter percebido salário superior ao dobro do mínimo legal não tem o condão de afastar a presunção de veracidade da declaração de pobreza, na medida em que este elemento, por si só, não constitui prova em contrário à declaração de não estar em condições de arcar com as despesas do processo sem prejuízo do próprio sustento. (RR - 987-91.2011.5.09.0093, Relatora Ministra: Maria Cristina Irigoyen Peduzzi, Data de Julgamento: 26/06/2018, 8ª Turma, Data de Publicação: DEJT 29/06/2018)   </w:t>
      </w:r>
    </w:p>
    <w:p w14:paraId="738D548E" w14:textId="77777777" w:rsidR="00990027" w:rsidRPr="00990027" w:rsidRDefault="00990027" w:rsidP="00990027">
      <w:pPr>
        <w:suppressAutoHyphens w:val="0"/>
        <w:overflowPunct/>
        <w:autoSpaceDE/>
        <w:autoSpaceDN/>
        <w:adjustRightInd/>
        <w:spacing w:line="240" w:lineRule="auto"/>
        <w:textAlignment w:val="auto"/>
        <w:rPr>
          <w:rFonts w:ascii="Garamond" w:hAnsi="Garamond"/>
          <w:color w:val="000000" w:themeColor="text1"/>
          <w:kern w:val="0"/>
          <w:sz w:val="24"/>
          <w:szCs w:val="24"/>
          <w:shd w:val="clear" w:color="auto" w:fill="EFEFEF"/>
        </w:rPr>
      </w:pPr>
    </w:p>
    <w:p w14:paraId="48EA844D" w14:textId="77777777" w:rsidR="00990027" w:rsidRPr="00990027" w:rsidRDefault="00990027" w:rsidP="00990027">
      <w:pPr>
        <w:suppressAutoHyphens w:val="0"/>
        <w:overflowPunct/>
        <w:autoSpaceDE/>
        <w:autoSpaceDN/>
        <w:adjustRightInd/>
        <w:spacing w:line="240" w:lineRule="auto"/>
        <w:ind w:left="1416" w:firstLine="708"/>
        <w:textAlignment w:val="auto"/>
        <w:rPr>
          <w:rFonts w:ascii="Garamond" w:hAnsi="Garamond"/>
          <w:color w:val="000000" w:themeColor="text1"/>
          <w:kern w:val="0"/>
          <w:sz w:val="24"/>
          <w:szCs w:val="24"/>
          <w:shd w:val="clear" w:color="auto" w:fill="EFEFEF"/>
        </w:rPr>
      </w:pPr>
      <w:r w:rsidRPr="00990027">
        <w:rPr>
          <w:rFonts w:ascii="Garamond" w:hAnsi="Garamond"/>
          <w:color w:val="000000" w:themeColor="text1"/>
          <w:kern w:val="0"/>
          <w:sz w:val="24"/>
          <w:szCs w:val="24"/>
          <w:shd w:val="clear" w:color="auto" w:fill="EFEFEF"/>
        </w:rPr>
        <w:t xml:space="preserve">"(...) BENEFÍCIO DA JUSTIÇA GRATUITA. A reclamante apresentou, na petição inicial e por meio de seu advogado, declaração de que não possui condições de arcar com as custas processuais sem prejuízo do sustento próprio e de sua família. A declaração de pobreza goza da presunção relativa de veracidade. A afirmação na inicial ou em qualquer fase processual de que a demandante não tem condições financeiras para estar em juízo sem prejuízo do seu próprio sustento ou de sua família é, então, até prova em contrário, suficiente para que se conceda a gratuidade da justiça. Nesse sentido foi editada a OJ nº 304 da SBDI-1, cancelada em razão de sua aglutinação ao item I da Súmula nº 463 do TST, que consignava: "Atendidos os requisitos da Lei nº 5.584/1970 (art. 14, § 2º), para a concessão da assistência judiciária, basta a simples afirmação do declarante ou de seu advogado, na petição inicial, para se considerar configurada a sua situação econômica (art. 4º, § 1º, da Lei nº 7.510/1986, que deu nova redação à Lei nº 1.060/1950)". Logo, conclui-se que a remuneração da reclamante, ainda que seja superior a dois salários-mínimos, sem outros elementos probatórios que demonstrem a disponibilidade financeira para o pagamento das custas e das despesas processuais, não é suficiente para afastar a concessão do benefício da justiça gratuita, não se divisando violação ao artigo 4º, § 1º, Lei nº 1.060/50. Agravo de instrumento a que se nega provimento. (...) (ARR - 896-37.2011.5.09.0663 , Relatora Ministra: Kátia Magalhães Arruda, Data de Julgamento: 20/06/2018, 6ª Turma, Data de Publicação: DEJT 22/06/2018) </w:t>
      </w:r>
    </w:p>
    <w:p w14:paraId="71A8B439" w14:textId="77777777" w:rsidR="00990027" w:rsidRPr="00990027" w:rsidRDefault="00990027" w:rsidP="00990027">
      <w:pPr>
        <w:suppressAutoHyphens w:val="0"/>
        <w:overflowPunct/>
        <w:autoSpaceDE/>
        <w:autoSpaceDN/>
        <w:adjustRightInd/>
        <w:spacing w:line="240" w:lineRule="auto"/>
        <w:textAlignment w:val="auto"/>
        <w:rPr>
          <w:rFonts w:ascii="Garamond" w:hAnsi="Garamond"/>
          <w:color w:val="000000" w:themeColor="text1"/>
          <w:kern w:val="0"/>
          <w:sz w:val="24"/>
          <w:szCs w:val="24"/>
          <w:shd w:val="clear" w:color="auto" w:fill="EFEFEF"/>
        </w:rPr>
      </w:pPr>
    </w:p>
    <w:p w14:paraId="38E128F3" w14:textId="77777777" w:rsidR="00990027" w:rsidRPr="00990027" w:rsidRDefault="00990027" w:rsidP="00990027">
      <w:pPr>
        <w:suppressAutoHyphens w:val="0"/>
        <w:overflowPunct/>
        <w:autoSpaceDE/>
        <w:autoSpaceDN/>
        <w:adjustRightInd/>
        <w:spacing w:line="240" w:lineRule="auto"/>
        <w:ind w:left="1416" w:firstLine="708"/>
        <w:textAlignment w:val="auto"/>
        <w:rPr>
          <w:rFonts w:ascii="Garamond" w:hAnsi="Garamond"/>
          <w:color w:val="000000" w:themeColor="text1"/>
          <w:kern w:val="0"/>
          <w:sz w:val="24"/>
          <w:szCs w:val="24"/>
          <w:shd w:val="clear" w:color="auto" w:fill="EFEFEF"/>
        </w:rPr>
      </w:pPr>
      <w:r w:rsidRPr="00990027">
        <w:rPr>
          <w:rFonts w:ascii="Garamond" w:hAnsi="Garamond"/>
          <w:color w:val="000000" w:themeColor="text1"/>
          <w:kern w:val="0"/>
          <w:sz w:val="24"/>
          <w:szCs w:val="24"/>
          <w:shd w:val="clear" w:color="auto" w:fill="EFEFEF"/>
        </w:rPr>
        <w:t xml:space="preserve">  "(...) BENEFÍCIOS DA JUSTIÇA GRATUITA. Embora consignado no acórdão recorrido a existência de declaração de miserabilidade firmada pela reclamante, a Corte Regional indeferiu o pedido de benefícios da justiça gratuita, sob o argumento de que esta recebe salário elevado (R$ 10.000,00), o que evidencia </w:t>
      </w:r>
      <w:r w:rsidRPr="00990027">
        <w:rPr>
          <w:rFonts w:ascii="Garamond" w:hAnsi="Garamond"/>
          <w:color w:val="000000" w:themeColor="text1"/>
          <w:kern w:val="0"/>
          <w:sz w:val="24"/>
          <w:szCs w:val="24"/>
          <w:shd w:val="clear" w:color="auto" w:fill="EFEFEF"/>
        </w:rPr>
        <w:lastRenderedPageBreak/>
        <w:t xml:space="preserve">a ausência de insuficiência econômica. Contudo, o art. 4º da Lei nº 1.060/50 (vigente à época da interposição do apelo), dispunha que "a parte gozará dos benefícios da assistência judiciária, mediante simples afirmação, na própria petição inicial, de que não está em condições de pagar as custas do processo e os honorários de advogado, sem prejuízo próprio ou de sua família". Esse também é o entendimento consolidado por esta Corte Superior (Súmula 463, I, do TST). Cabe ressaltar que o valor da remuneração recebida pela autora, por si só, não é suficiente para desconstituir a presunção de veracidade da declaração de não estar em condições de arcar com as despesas do processo. Precedentes. Recurso de revista conhecido e provido para restabelecer a sentença em que se deferiu os benefícios da justiça gratuita e condenou a reclamada ao pagamento de honorários advocatícios, porque preenchidos os requisitos contidos na Súmula 219, I, do TST. (RR - 11004-20.2014.5.18.0001 , Relator Ministro: Márcio Eurico Vitral Amaro, Data de Julgamento: 06/06/2018, 8ª Turma, Data de Publicação: DEJT 08/06/2018)   </w:t>
      </w:r>
    </w:p>
    <w:p w14:paraId="0628FA8B" w14:textId="77777777" w:rsidR="00990027" w:rsidRPr="00990027" w:rsidRDefault="00990027" w:rsidP="00990027">
      <w:pPr>
        <w:suppressAutoHyphens w:val="0"/>
        <w:overflowPunct/>
        <w:autoSpaceDE/>
        <w:autoSpaceDN/>
        <w:adjustRightInd/>
        <w:spacing w:line="240" w:lineRule="auto"/>
        <w:textAlignment w:val="auto"/>
        <w:rPr>
          <w:rFonts w:ascii="Garamond" w:hAnsi="Garamond"/>
          <w:color w:val="000000" w:themeColor="text1"/>
          <w:kern w:val="0"/>
          <w:sz w:val="24"/>
          <w:szCs w:val="24"/>
          <w:shd w:val="clear" w:color="auto" w:fill="EFEFEF"/>
        </w:rPr>
      </w:pPr>
    </w:p>
    <w:p w14:paraId="343D8269" w14:textId="30ECC406" w:rsidR="00990027" w:rsidRPr="00990027" w:rsidRDefault="00990027" w:rsidP="00990027">
      <w:pPr>
        <w:suppressAutoHyphens w:val="0"/>
        <w:overflowPunct/>
        <w:autoSpaceDE/>
        <w:autoSpaceDN/>
        <w:adjustRightInd/>
        <w:spacing w:line="240" w:lineRule="auto"/>
        <w:ind w:left="1416" w:firstLine="708"/>
        <w:textAlignment w:val="auto"/>
        <w:rPr>
          <w:rFonts w:ascii="Garamond" w:hAnsi="Garamond"/>
          <w:color w:val="000000" w:themeColor="text1"/>
          <w:kern w:val="0"/>
          <w:sz w:val="24"/>
          <w:szCs w:val="24"/>
        </w:rPr>
      </w:pPr>
      <w:r w:rsidRPr="00990027">
        <w:rPr>
          <w:rFonts w:ascii="Garamond" w:hAnsi="Garamond"/>
          <w:color w:val="000000" w:themeColor="text1"/>
          <w:kern w:val="0"/>
          <w:sz w:val="24"/>
          <w:szCs w:val="24"/>
          <w:shd w:val="clear" w:color="auto" w:fill="EFEFEF"/>
        </w:rPr>
        <w:t xml:space="preserve">"(...) RECURSO DE REVISTA. BENEFÍCIOS DA JUSTIÇA GRATUITA. REQUISITOS. DECLARAÇÃO DE POBREZA. É pacífico na Corte o entendimento de que, para o deferimento dos benefícios da Justiça gratuita, basta que o empregado declare a sua situação de hipossuficiência. (Súmula 463, I/TST). O fato de o reclamante perceber salário elevado não é suficiente, por si só, para demonstrar que esteja em situação econômica que lhe permita arcar com as despesas do processo, sem prejuízo do sustento de sua família. A declaração de hipossuficiência econômica tem presunção relativa de veracidade, de forma que, apenas quando elidida por prova em contrário, o que não restou demonstrado pelo eg. TRT, deve ser indeferido o benefício pleiteado. Precedentes da SBDI-1/TST. Ressalva do entendimento da Relatora. Recurso de revista de que se conhece e a que se dá provimento. (RR - 11215-89.2015.5.01.0067 , Relatora Desembargadora Convocada: Cilene Ferreira Amaro Santos, Data de Julgamento: 11/04/2018, 6ª Turma, Data de Publicação: DEJT 13/04/2018) </w:t>
      </w:r>
    </w:p>
    <w:p w14:paraId="793E0992" w14:textId="1B8B77F4" w:rsidR="00581192" w:rsidRPr="00427703" w:rsidRDefault="00581192" w:rsidP="007451E0">
      <w:pPr>
        <w:spacing w:line="360" w:lineRule="auto"/>
        <w:ind w:firstLine="708"/>
        <w:rPr>
          <w:rFonts w:ascii="Garamond" w:hAnsi="Garamond" w:cs="Arial"/>
          <w:sz w:val="24"/>
          <w:szCs w:val="24"/>
        </w:rPr>
      </w:pPr>
    </w:p>
    <w:p w14:paraId="68AF6067" w14:textId="2B123386" w:rsidR="0095286C" w:rsidRPr="00427703" w:rsidRDefault="0095286C" w:rsidP="00BB010E">
      <w:pPr>
        <w:spacing w:line="360" w:lineRule="auto"/>
        <w:ind w:firstLine="708"/>
        <w:rPr>
          <w:rFonts w:ascii="Garamond" w:hAnsi="Garamond" w:cs="Arial"/>
          <w:sz w:val="24"/>
          <w:szCs w:val="24"/>
        </w:rPr>
      </w:pPr>
    </w:p>
    <w:p w14:paraId="11FD2FFC" w14:textId="0D1BB0D9" w:rsidR="00BB010E" w:rsidRDefault="00655F96" w:rsidP="002D20DB">
      <w:pPr>
        <w:suppressAutoHyphens w:val="0"/>
        <w:overflowPunct/>
        <w:autoSpaceDE/>
        <w:autoSpaceDN/>
        <w:adjustRightInd/>
        <w:spacing w:line="360" w:lineRule="auto"/>
        <w:ind w:firstLine="708"/>
        <w:textAlignment w:val="auto"/>
        <w:rPr>
          <w:rFonts w:ascii="Garamond" w:hAnsi="Garamond" w:cs="Arial"/>
          <w:color w:val="333333"/>
          <w:spacing w:val="3"/>
          <w:kern w:val="0"/>
          <w:sz w:val="24"/>
          <w:szCs w:val="24"/>
          <w:shd w:val="clear" w:color="auto" w:fill="FFFFFF"/>
        </w:rPr>
      </w:pPr>
      <w:r>
        <w:rPr>
          <w:rFonts w:ascii="Garamond" w:hAnsi="Garamond" w:cs="Arial"/>
          <w:sz w:val="24"/>
          <w:szCs w:val="24"/>
        </w:rPr>
        <w:t>Da mesma forma, este Tribunal já entendeu que c</w:t>
      </w:r>
      <w:r w:rsidR="0095286C" w:rsidRPr="00427703">
        <w:rPr>
          <w:rFonts w:ascii="Garamond" w:hAnsi="Garamond" w:cs="Arial"/>
          <w:sz w:val="24"/>
          <w:szCs w:val="24"/>
        </w:rPr>
        <w:t xml:space="preserve">aso não seja deferida o benefício da justiça gratuita </w:t>
      </w:r>
      <w:r>
        <w:rPr>
          <w:rFonts w:ascii="Garamond" w:hAnsi="Garamond" w:cs="Arial"/>
          <w:sz w:val="24"/>
          <w:szCs w:val="24"/>
        </w:rPr>
        <w:t>na</w:t>
      </w:r>
      <w:r w:rsidR="0095286C" w:rsidRPr="00427703">
        <w:rPr>
          <w:rFonts w:ascii="Garamond" w:hAnsi="Garamond" w:cs="Arial"/>
          <w:sz w:val="24"/>
          <w:szCs w:val="24"/>
        </w:rPr>
        <w:t xml:space="preserve"> peça recursal</w:t>
      </w:r>
      <w:r>
        <w:rPr>
          <w:rFonts w:ascii="Garamond" w:hAnsi="Garamond" w:cs="Arial"/>
          <w:sz w:val="24"/>
          <w:szCs w:val="24"/>
        </w:rPr>
        <w:t>, há previsão legal para concessão</w:t>
      </w:r>
      <w:r w:rsidR="0095286C" w:rsidRPr="00427703">
        <w:rPr>
          <w:rFonts w:ascii="Garamond" w:hAnsi="Garamond" w:cs="Arial"/>
          <w:sz w:val="24"/>
          <w:szCs w:val="24"/>
        </w:rPr>
        <w:t xml:space="preserve"> de prazo previsto no art. 99, § 7º </w:t>
      </w:r>
      <w:r w:rsidR="00E86059" w:rsidRPr="00427703">
        <w:rPr>
          <w:rFonts w:ascii="Garamond" w:hAnsi="Garamond" w:cs="Arial"/>
          <w:sz w:val="24"/>
          <w:szCs w:val="24"/>
        </w:rPr>
        <w:t xml:space="preserve">do NCPC e </w:t>
      </w:r>
      <w:r w:rsidR="00E86059" w:rsidRPr="00427703">
        <w:rPr>
          <w:rFonts w:ascii="Garamond" w:hAnsi="Garamond" w:cs="Lucida Grande"/>
          <w:color w:val="333333"/>
          <w:kern w:val="0"/>
          <w:sz w:val="24"/>
          <w:szCs w:val="24"/>
          <w:shd w:val="clear" w:color="auto" w:fill="FFFFFF"/>
        </w:rPr>
        <w:t>item II da OJ269 – SBDI-1 do TST</w:t>
      </w:r>
      <w:r w:rsidR="00BB010E" w:rsidRPr="00427703">
        <w:rPr>
          <w:rFonts w:ascii="Garamond" w:hAnsi="Garamond" w:cs="Lucida Grande"/>
          <w:color w:val="333333"/>
          <w:kern w:val="0"/>
          <w:sz w:val="24"/>
          <w:szCs w:val="24"/>
          <w:shd w:val="clear" w:color="auto" w:fill="FFFFFF"/>
        </w:rPr>
        <w:t xml:space="preserve">, caso seja ainda o entendimento </w:t>
      </w:r>
      <w:r>
        <w:rPr>
          <w:rFonts w:ascii="Garamond" w:hAnsi="Garamond" w:cs="Lucida Grande"/>
          <w:color w:val="333333"/>
          <w:kern w:val="0"/>
          <w:sz w:val="24"/>
          <w:szCs w:val="24"/>
          <w:shd w:val="clear" w:color="auto" w:fill="FFFFFF"/>
        </w:rPr>
        <w:t>da</w:t>
      </w:r>
      <w:r w:rsidR="00BB010E" w:rsidRPr="00427703">
        <w:rPr>
          <w:rFonts w:ascii="Garamond" w:hAnsi="Garamond" w:cs="Lucida Grande"/>
          <w:color w:val="333333"/>
          <w:kern w:val="0"/>
          <w:sz w:val="24"/>
          <w:szCs w:val="24"/>
          <w:shd w:val="clear" w:color="auto" w:fill="FFFFFF"/>
        </w:rPr>
        <w:t xml:space="preserve"> relatoria</w:t>
      </w:r>
      <w:r>
        <w:rPr>
          <w:rFonts w:ascii="Garamond" w:hAnsi="Garamond" w:cs="Lucida Grande"/>
          <w:color w:val="333333"/>
          <w:kern w:val="0"/>
          <w:sz w:val="24"/>
          <w:szCs w:val="24"/>
          <w:shd w:val="clear" w:color="auto" w:fill="FFFFFF"/>
        </w:rPr>
        <w:t xml:space="preserve"> do 2º Grau,</w:t>
      </w:r>
      <w:r w:rsidR="00BB010E" w:rsidRPr="00427703">
        <w:rPr>
          <w:rFonts w:ascii="Garamond" w:hAnsi="Garamond" w:cs="Lucida Grande"/>
          <w:color w:val="333333"/>
          <w:kern w:val="0"/>
          <w:sz w:val="24"/>
          <w:szCs w:val="24"/>
          <w:shd w:val="clear" w:color="auto" w:fill="FFFFFF"/>
        </w:rPr>
        <w:t xml:space="preserve"> pelo pagamento </w:t>
      </w:r>
      <w:r>
        <w:rPr>
          <w:rFonts w:ascii="Garamond" w:hAnsi="Garamond" w:cs="Lucida Grande"/>
          <w:color w:val="333333"/>
          <w:kern w:val="0"/>
          <w:sz w:val="24"/>
          <w:szCs w:val="24"/>
          <w:shd w:val="clear" w:color="auto" w:fill="FFFFFF"/>
        </w:rPr>
        <w:t>do depósito recursal, sendo ainda possível a</w:t>
      </w:r>
      <w:r w:rsidR="00BB010E" w:rsidRPr="00427703">
        <w:rPr>
          <w:rFonts w:ascii="Garamond" w:hAnsi="Garamond" w:cs="Lucida Grande"/>
          <w:color w:val="333333"/>
          <w:kern w:val="0"/>
          <w:sz w:val="24"/>
          <w:szCs w:val="24"/>
          <w:shd w:val="clear" w:color="auto" w:fill="FFFFFF"/>
        </w:rPr>
        <w:t xml:space="preserve"> concessão de parcelamento nos termos do </w:t>
      </w:r>
      <w:r w:rsidR="00BB010E" w:rsidRPr="00427703">
        <w:rPr>
          <w:rFonts w:ascii="Garamond" w:hAnsi="Garamond" w:cs="Arial"/>
          <w:color w:val="333333"/>
          <w:spacing w:val="3"/>
          <w:kern w:val="0"/>
          <w:sz w:val="24"/>
          <w:szCs w:val="24"/>
          <w:shd w:val="clear" w:color="auto" w:fill="FFFFFF"/>
        </w:rPr>
        <w:t>§ 6º do art. 98 do NCPC.</w:t>
      </w:r>
    </w:p>
    <w:p w14:paraId="7A5C2D06" w14:textId="3D384839" w:rsidR="00AD62DD" w:rsidRDefault="00AD62DD" w:rsidP="002D20DB">
      <w:pPr>
        <w:suppressAutoHyphens w:val="0"/>
        <w:overflowPunct/>
        <w:autoSpaceDE/>
        <w:autoSpaceDN/>
        <w:adjustRightInd/>
        <w:spacing w:line="360" w:lineRule="auto"/>
        <w:ind w:firstLine="708"/>
        <w:textAlignment w:val="auto"/>
        <w:rPr>
          <w:rFonts w:ascii="Garamond" w:hAnsi="Garamond" w:cs="Arial"/>
          <w:color w:val="333333"/>
          <w:spacing w:val="3"/>
          <w:kern w:val="0"/>
          <w:sz w:val="24"/>
          <w:szCs w:val="24"/>
          <w:shd w:val="clear" w:color="auto" w:fill="FFFFFF"/>
        </w:rPr>
      </w:pPr>
    </w:p>
    <w:p w14:paraId="33379517" w14:textId="15250963" w:rsidR="00AD62DD" w:rsidRDefault="00AD62DD" w:rsidP="002D20DB">
      <w:pPr>
        <w:suppressAutoHyphens w:val="0"/>
        <w:overflowPunct/>
        <w:autoSpaceDE/>
        <w:autoSpaceDN/>
        <w:adjustRightInd/>
        <w:spacing w:line="360" w:lineRule="auto"/>
        <w:ind w:firstLine="708"/>
        <w:textAlignment w:val="auto"/>
        <w:rPr>
          <w:rFonts w:ascii="Garamond" w:hAnsi="Garamond" w:cs="Arial"/>
          <w:color w:val="333333"/>
          <w:spacing w:val="3"/>
          <w:kern w:val="0"/>
          <w:sz w:val="24"/>
          <w:szCs w:val="24"/>
          <w:shd w:val="clear" w:color="auto" w:fill="FFFFFF"/>
        </w:rPr>
      </w:pPr>
      <w:r>
        <w:rPr>
          <w:rFonts w:ascii="Garamond" w:hAnsi="Garamond" w:cs="Arial"/>
          <w:color w:val="333333"/>
          <w:spacing w:val="3"/>
          <w:kern w:val="0"/>
          <w:sz w:val="24"/>
          <w:szCs w:val="24"/>
          <w:shd w:val="clear" w:color="auto" w:fill="FFFFFF"/>
        </w:rPr>
        <w:t>A respeito do pedido de assistência judiciária em sede recursal, fica claro que a competência para análise do mesmo se faz da relatoria para qual o Recurso Ordinário recaia, neste sentido, já decidiu a 3 turma deste Tribunal Regional do Trabalho, vejamos:</w:t>
      </w:r>
    </w:p>
    <w:p w14:paraId="48E5E8D1" w14:textId="37216933" w:rsidR="00AD62DD" w:rsidRDefault="00AD62DD" w:rsidP="002D20DB">
      <w:pPr>
        <w:suppressAutoHyphens w:val="0"/>
        <w:overflowPunct/>
        <w:autoSpaceDE/>
        <w:autoSpaceDN/>
        <w:adjustRightInd/>
        <w:spacing w:line="360" w:lineRule="auto"/>
        <w:ind w:firstLine="708"/>
        <w:textAlignment w:val="auto"/>
        <w:rPr>
          <w:rFonts w:ascii="Garamond" w:hAnsi="Garamond" w:cs="Arial"/>
          <w:color w:val="333333"/>
          <w:spacing w:val="3"/>
          <w:kern w:val="0"/>
          <w:sz w:val="24"/>
          <w:szCs w:val="24"/>
          <w:shd w:val="clear" w:color="auto" w:fill="FFFFFF"/>
        </w:rPr>
      </w:pPr>
    </w:p>
    <w:p w14:paraId="17CDAA1D" w14:textId="55C971D6" w:rsidR="00AD62DD" w:rsidRPr="00427703" w:rsidRDefault="00AD62DD" w:rsidP="002D20DB">
      <w:pPr>
        <w:suppressAutoHyphens w:val="0"/>
        <w:overflowPunct/>
        <w:autoSpaceDE/>
        <w:autoSpaceDN/>
        <w:adjustRightInd/>
        <w:spacing w:line="360" w:lineRule="auto"/>
        <w:ind w:firstLine="708"/>
        <w:textAlignment w:val="auto"/>
        <w:rPr>
          <w:rFonts w:ascii="Garamond" w:hAnsi="Garamond"/>
          <w:kern w:val="0"/>
          <w:sz w:val="24"/>
          <w:szCs w:val="24"/>
        </w:rPr>
      </w:pPr>
      <w:r>
        <w:rPr>
          <w:rFonts w:ascii="Garamond" w:hAnsi="Garamond"/>
          <w:noProof/>
          <w:kern w:val="0"/>
          <w:sz w:val="24"/>
          <w:szCs w:val="24"/>
        </w:rPr>
        <w:lastRenderedPageBreak/>
        <w:drawing>
          <wp:inline distT="0" distB="0" distL="0" distR="0" wp14:anchorId="2C210EB0" wp14:editId="4567CCE3">
            <wp:extent cx="5760085" cy="5751830"/>
            <wp:effectExtent l="0" t="0" r="5715" b="1270"/>
            <wp:docPr id="5" name="Imagem 5" descr="Uma imagem contendo captura de tela&#10;&#10;Descrição gerada automa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19-04-10 14.58.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5751830"/>
                    </a:xfrm>
                    <a:prstGeom prst="rect">
                      <a:avLst/>
                    </a:prstGeom>
                  </pic:spPr>
                </pic:pic>
              </a:graphicData>
            </a:graphic>
          </wp:inline>
        </w:drawing>
      </w:r>
    </w:p>
    <w:p w14:paraId="5F1F258C" w14:textId="7EE9C3A7" w:rsidR="00E86059" w:rsidRDefault="00E86059" w:rsidP="002B46E5">
      <w:pPr>
        <w:suppressAutoHyphens w:val="0"/>
        <w:overflowPunct/>
        <w:autoSpaceDE/>
        <w:autoSpaceDN/>
        <w:adjustRightInd/>
        <w:spacing w:line="360" w:lineRule="auto"/>
        <w:jc w:val="left"/>
        <w:textAlignment w:val="auto"/>
        <w:rPr>
          <w:rFonts w:ascii="Times New Roman" w:hAnsi="Times New Roman"/>
          <w:kern w:val="0"/>
          <w:sz w:val="24"/>
          <w:szCs w:val="24"/>
        </w:rPr>
      </w:pPr>
    </w:p>
    <w:p w14:paraId="6903E031" w14:textId="3861530F" w:rsidR="002B46E5" w:rsidRDefault="002B46E5" w:rsidP="002B46E5">
      <w:pPr>
        <w:suppressAutoHyphens w:val="0"/>
        <w:overflowPunct/>
        <w:autoSpaceDE/>
        <w:autoSpaceDN/>
        <w:adjustRightInd/>
        <w:spacing w:line="360" w:lineRule="auto"/>
        <w:jc w:val="left"/>
        <w:textAlignment w:val="auto"/>
        <w:rPr>
          <w:rFonts w:ascii="Times New Roman" w:hAnsi="Times New Roman"/>
          <w:kern w:val="0"/>
          <w:sz w:val="24"/>
          <w:szCs w:val="24"/>
        </w:rPr>
      </w:pPr>
      <w:r>
        <w:rPr>
          <w:rFonts w:ascii="Times New Roman" w:hAnsi="Times New Roman"/>
          <w:kern w:val="0"/>
          <w:sz w:val="24"/>
          <w:szCs w:val="24"/>
        </w:rPr>
        <w:tab/>
        <w:t>Vislumbra-se no caso acima, que o pedido de benefício da assistência judiciária gratuita, fora apreciado pela ilustre desembargadora Rosa Nair, ou seja, o Recurso Ordinário fora processado e aceito em primeiro grau e remetido a relatoria competente,</w:t>
      </w:r>
      <w:r w:rsidR="007D7D8A">
        <w:rPr>
          <w:rFonts w:ascii="Times New Roman" w:hAnsi="Times New Roman"/>
          <w:kern w:val="0"/>
          <w:sz w:val="24"/>
          <w:szCs w:val="24"/>
        </w:rPr>
        <w:t xml:space="preserve"> bem como em momento qual denegou a assistência, concedeu prazo para recolhimento do depósito recursal.</w:t>
      </w:r>
    </w:p>
    <w:p w14:paraId="08BC3953" w14:textId="37EFD495" w:rsidR="00D26353" w:rsidRDefault="00D26353" w:rsidP="002B46E5">
      <w:pPr>
        <w:suppressAutoHyphens w:val="0"/>
        <w:overflowPunct/>
        <w:autoSpaceDE/>
        <w:autoSpaceDN/>
        <w:adjustRightInd/>
        <w:spacing w:line="360" w:lineRule="auto"/>
        <w:jc w:val="left"/>
        <w:textAlignment w:val="auto"/>
        <w:rPr>
          <w:rFonts w:ascii="Times New Roman" w:hAnsi="Times New Roman"/>
          <w:kern w:val="0"/>
          <w:sz w:val="24"/>
          <w:szCs w:val="24"/>
        </w:rPr>
      </w:pPr>
    </w:p>
    <w:p w14:paraId="06BB3126" w14:textId="1B3510E3" w:rsidR="00D26353" w:rsidRPr="00427703" w:rsidRDefault="00D26353" w:rsidP="002B46E5">
      <w:pPr>
        <w:suppressAutoHyphens w:val="0"/>
        <w:overflowPunct/>
        <w:autoSpaceDE/>
        <w:autoSpaceDN/>
        <w:adjustRightInd/>
        <w:spacing w:line="360" w:lineRule="auto"/>
        <w:jc w:val="left"/>
        <w:textAlignment w:val="auto"/>
        <w:rPr>
          <w:rFonts w:ascii="Times New Roman" w:hAnsi="Times New Roman"/>
          <w:kern w:val="0"/>
          <w:sz w:val="24"/>
          <w:szCs w:val="24"/>
        </w:rPr>
      </w:pPr>
      <w:r>
        <w:rPr>
          <w:rFonts w:ascii="Times New Roman" w:hAnsi="Times New Roman"/>
          <w:kern w:val="0"/>
          <w:sz w:val="24"/>
          <w:szCs w:val="24"/>
        </w:rPr>
        <w:tab/>
        <w:t>Assim, pugna em forma de pedido subsidiário, caso não seja, desde já concedido o benefício da assistência judiciária gratuita ao Agravante, ante a farta documentação acostada, que seja o Recurso Ordinário destrancado e remetido ao Egrégio Tribunal Regional do Trabalho da 18ª Região.</w:t>
      </w:r>
    </w:p>
    <w:p w14:paraId="744F68EE" w14:textId="15CDBBA0" w:rsidR="0095286C" w:rsidRPr="00427703" w:rsidRDefault="0095286C" w:rsidP="00232BAC">
      <w:pPr>
        <w:spacing w:line="360" w:lineRule="auto"/>
        <w:ind w:firstLine="708"/>
        <w:rPr>
          <w:rFonts w:ascii="Garamond" w:hAnsi="Garamond" w:cs="Arial"/>
          <w:sz w:val="24"/>
          <w:szCs w:val="24"/>
        </w:rPr>
      </w:pPr>
    </w:p>
    <w:p w14:paraId="5DAADDB3" w14:textId="77777777" w:rsidR="00232BAC" w:rsidRPr="00427703" w:rsidRDefault="00232BAC" w:rsidP="00232BAC">
      <w:pPr>
        <w:spacing w:line="360" w:lineRule="auto"/>
        <w:rPr>
          <w:rFonts w:ascii="Garamond" w:hAnsi="Garamond" w:cs="Tahoma"/>
          <w:color w:val="000000" w:themeColor="text1"/>
          <w:sz w:val="24"/>
          <w:szCs w:val="24"/>
        </w:rPr>
      </w:pPr>
    </w:p>
    <w:p w14:paraId="595B5BE9" w14:textId="77777777" w:rsidR="00232BAC" w:rsidRPr="00427703" w:rsidRDefault="00232BAC" w:rsidP="00232BAC">
      <w:pPr>
        <w:spacing w:line="360" w:lineRule="auto"/>
        <w:rPr>
          <w:rFonts w:ascii="Garamond" w:hAnsi="Garamond" w:cs="Tahoma"/>
          <w:b/>
          <w:color w:val="000000" w:themeColor="text1"/>
          <w:sz w:val="24"/>
          <w:szCs w:val="24"/>
        </w:rPr>
      </w:pPr>
      <w:r w:rsidRPr="00427703">
        <w:rPr>
          <w:rFonts w:ascii="Garamond" w:hAnsi="Garamond" w:cs="Tahoma"/>
          <w:color w:val="000000" w:themeColor="text1"/>
          <w:sz w:val="24"/>
          <w:szCs w:val="24"/>
        </w:rPr>
        <w:tab/>
      </w:r>
    </w:p>
    <w:p w14:paraId="20E1D56F" w14:textId="77777777" w:rsidR="00232BAC" w:rsidRPr="00427703" w:rsidRDefault="00232BAC" w:rsidP="00232BAC">
      <w:pPr>
        <w:spacing w:line="360" w:lineRule="auto"/>
        <w:rPr>
          <w:rFonts w:ascii="Garamond" w:hAnsi="Garamond" w:cs="Tahoma"/>
          <w:color w:val="000000" w:themeColor="text1"/>
          <w:sz w:val="24"/>
          <w:szCs w:val="24"/>
        </w:rPr>
      </w:pPr>
      <w:r w:rsidRPr="00427703">
        <w:rPr>
          <w:rFonts w:ascii="Garamond" w:hAnsi="Garamond" w:cs="Tahoma"/>
          <w:b/>
          <w:color w:val="000000" w:themeColor="text1"/>
          <w:sz w:val="24"/>
          <w:szCs w:val="24"/>
        </w:rPr>
        <w:t>DOS PEDIDOS</w:t>
      </w:r>
    </w:p>
    <w:p w14:paraId="12C5CA5C" w14:textId="77777777" w:rsidR="00232BAC" w:rsidRPr="00427703" w:rsidRDefault="00232BAC" w:rsidP="00232BAC">
      <w:pPr>
        <w:spacing w:line="360" w:lineRule="auto"/>
        <w:ind w:firstLine="708"/>
        <w:rPr>
          <w:rFonts w:ascii="Garamond" w:hAnsi="Garamond" w:cs="Tahoma"/>
          <w:color w:val="000000" w:themeColor="text1"/>
          <w:sz w:val="24"/>
          <w:szCs w:val="24"/>
        </w:rPr>
      </w:pPr>
    </w:p>
    <w:p w14:paraId="4FDA32A2" w14:textId="3F2A66F1" w:rsidR="00C66AB1" w:rsidRDefault="00D52F63" w:rsidP="00232BAC">
      <w:pPr>
        <w:spacing w:line="360" w:lineRule="auto"/>
        <w:ind w:firstLine="708"/>
        <w:rPr>
          <w:rFonts w:ascii="Garamond" w:hAnsi="Garamond" w:cs="Tahoma"/>
          <w:color w:val="000000" w:themeColor="text1"/>
          <w:sz w:val="24"/>
          <w:szCs w:val="24"/>
        </w:rPr>
      </w:pPr>
      <w:r>
        <w:rPr>
          <w:rFonts w:ascii="Garamond" w:hAnsi="Garamond" w:cs="Tahoma"/>
          <w:color w:val="000000" w:themeColor="text1"/>
          <w:sz w:val="24"/>
          <w:szCs w:val="24"/>
        </w:rPr>
        <w:t xml:space="preserve">Desta forma pugna o agravante pelo destrancamento do recurso, </w:t>
      </w:r>
      <w:r w:rsidR="00C66AB1">
        <w:rPr>
          <w:rFonts w:ascii="Garamond" w:hAnsi="Garamond" w:cs="Tahoma"/>
          <w:color w:val="000000" w:themeColor="text1"/>
          <w:sz w:val="24"/>
          <w:szCs w:val="24"/>
        </w:rPr>
        <w:t>com a sua remessa ao 2º grau, para análise da concessão dos benefícios da assistência judiciária.</w:t>
      </w:r>
    </w:p>
    <w:p w14:paraId="5CC3624B" w14:textId="77777777" w:rsidR="00232BAC" w:rsidRPr="00427703" w:rsidRDefault="00232BAC" w:rsidP="00C66AB1">
      <w:pPr>
        <w:spacing w:line="360" w:lineRule="auto"/>
        <w:rPr>
          <w:rFonts w:ascii="Garamond" w:hAnsi="Garamond" w:cs="Tahoma"/>
          <w:color w:val="000000" w:themeColor="text1"/>
          <w:sz w:val="24"/>
          <w:szCs w:val="24"/>
        </w:rPr>
      </w:pPr>
    </w:p>
    <w:p w14:paraId="4E9EBA87" w14:textId="5238E24B" w:rsidR="00232BAC" w:rsidRPr="00427703" w:rsidRDefault="00232BAC" w:rsidP="00232BAC">
      <w:pPr>
        <w:spacing w:line="360" w:lineRule="auto"/>
        <w:ind w:firstLine="708"/>
        <w:rPr>
          <w:rFonts w:ascii="Garamond" w:hAnsi="Garamond" w:cs="Tahoma"/>
          <w:color w:val="000000" w:themeColor="text1"/>
          <w:sz w:val="24"/>
          <w:szCs w:val="24"/>
        </w:rPr>
      </w:pPr>
      <w:r w:rsidRPr="00427703">
        <w:rPr>
          <w:rFonts w:ascii="Garamond" w:hAnsi="Garamond" w:cs="Tahoma"/>
          <w:color w:val="000000" w:themeColor="text1"/>
          <w:sz w:val="24"/>
          <w:szCs w:val="24"/>
        </w:rPr>
        <w:t xml:space="preserve">Requer por fim, </w:t>
      </w:r>
      <w:r w:rsidR="00C66AB1">
        <w:rPr>
          <w:rFonts w:ascii="Garamond" w:hAnsi="Garamond" w:cs="Tahoma"/>
          <w:color w:val="000000" w:themeColor="text1"/>
          <w:sz w:val="24"/>
          <w:szCs w:val="24"/>
        </w:rPr>
        <w:t>caso não seja este o entendimento, requer de forma subsidiária,  que seja concedido prazo para pagamento das custas recursais, bem como o seu parcelamento.</w:t>
      </w:r>
    </w:p>
    <w:p w14:paraId="3A669A5F" w14:textId="77777777" w:rsidR="00232BAC" w:rsidRPr="00427703" w:rsidRDefault="00232BAC" w:rsidP="00232BAC">
      <w:pPr>
        <w:pStyle w:val="NormalWeb"/>
        <w:shd w:val="clear" w:color="auto" w:fill="FFFFFF"/>
        <w:spacing w:before="240" w:after="300" w:line="390" w:lineRule="atLeast"/>
        <w:jc w:val="center"/>
        <w:rPr>
          <w:rFonts w:ascii="Garamond" w:hAnsi="Garamond" w:cs="Tahoma"/>
          <w:spacing w:val="2"/>
        </w:rPr>
      </w:pPr>
      <w:r w:rsidRPr="00427703">
        <w:rPr>
          <w:rFonts w:ascii="Garamond" w:hAnsi="Garamond" w:cs="Tahoma"/>
          <w:spacing w:val="2"/>
        </w:rPr>
        <w:t>Nestes termos, pede e espera deferimento.</w:t>
      </w:r>
    </w:p>
    <w:p w14:paraId="0D3CF360" w14:textId="6D79CAF4" w:rsidR="00232BAC" w:rsidRPr="00427703" w:rsidRDefault="00232BAC" w:rsidP="00232BAC">
      <w:pPr>
        <w:pStyle w:val="NormalWeb"/>
        <w:shd w:val="clear" w:color="auto" w:fill="FFFFFF"/>
        <w:spacing w:before="240" w:after="300" w:line="360" w:lineRule="auto"/>
        <w:ind w:firstLine="708"/>
        <w:jc w:val="center"/>
        <w:rPr>
          <w:rFonts w:ascii="Garamond" w:hAnsi="Garamond"/>
          <w:spacing w:val="2"/>
        </w:rPr>
      </w:pPr>
      <w:r w:rsidRPr="00427703">
        <w:rPr>
          <w:rFonts w:ascii="Garamond" w:hAnsi="Garamond"/>
          <w:spacing w:val="2"/>
        </w:rPr>
        <w:t>Goiânia, 1</w:t>
      </w:r>
      <w:r w:rsidR="007F2322">
        <w:rPr>
          <w:rFonts w:ascii="Garamond" w:hAnsi="Garamond"/>
          <w:spacing w:val="2"/>
        </w:rPr>
        <w:t>8</w:t>
      </w:r>
      <w:r w:rsidRPr="00427703">
        <w:rPr>
          <w:rFonts w:ascii="Garamond" w:hAnsi="Garamond"/>
          <w:spacing w:val="2"/>
        </w:rPr>
        <w:t xml:space="preserve"> de março de 2019.</w:t>
      </w:r>
    </w:p>
    <w:p w14:paraId="76515A93" w14:textId="77777777" w:rsidR="00232BAC" w:rsidRPr="00427703" w:rsidRDefault="00232BAC" w:rsidP="00232BAC">
      <w:pPr>
        <w:pStyle w:val="NormalWeb"/>
        <w:shd w:val="clear" w:color="auto" w:fill="FFFFFF"/>
        <w:spacing w:before="240" w:after="300" w:line="360" w:lineRule="auto"/>
        <w:ind w:firstLine="708"/>
        <w:jc w:val="both"/>
        <w:rPr>
          <w:rFonts w:ascii="Garamond" w:hAnsi="Garamond"/>
          <w:spacing w:val="2"/>
        </w:rPr>
      </w:pPr>
    </w:p>
    <w:p w14:paraId="3698046A" w14:textId="14391015" w:rsidR="00232BAC" w:rsidRPr="00427703" w:rsidRDefault="00C32F67" w:rsidP="00232BAC">
      <w:pPr>
        <w:pStyle w:val="NormalWeb"/>
        <w:shd w:val="clear" w:color="auto" w:fill="FFFFFF"/>
        <w:spacing w:before="240" w:after="300"/>
        <w:jc w:val="center"/>
        <w:rPr>
          <w:rFonts w:ascii="Garamond" w:hAnsi="Garamond"/>
          <w:b/>
        </w:rPr>
      </w:pPr>
      <w:r>
        <w:rPr>
          <w:rFonts w:ascii="Garamond" w:hAnsi="Garamond"/>
          <w:b/>
        </w:rPr>
        <w:t>advogado</w:t>
      </w:r>
    </w:p>
    <w:p w14:paraId="00EE1DFE" w14:textId="0B814A3D" w:rsidR="00232BAC" w:rsidRPr="00427703" w:rsidRDefault="00232BAC" w:rsidP="00232BAC">
      <w:pPr>
        <w:pStyle w:val="NormalWeb"/>
        <w:shd w:val="clear" w:color="auto" w:fill="FFFFFF"/>
        <w:spacing w:before="240" w:after="300"/>
        <w:jc w:val="center"/>
        <w:rPr>
          <w:rFonts w:ascii="Garamond" w:hAnsi="Garamond"/>
          <w:spacing w:val="2"/>
        </w:rPr>
      </w:pPr>
      <w:r w:rsidRPr="00427703">
        <w:rPr>
          <w:rFonts w:ascii="Garamond" w:hAnsi="Garamond"/>
          <w:b/>
        </w:rPr>
        <w:t xml:space="preserve">OAB/GO </w:t>
      </w:r>
      <w:r w:rsidR="00C32F67">
        <w:rPr>
          <w:rFonts w:ascii="Garamond" w:hAnsi="Garamond"/>
          <w:b/>
        </w:rPr>
        <w:t>nº</w:t>
      </w:r>
      <w:bookmarkStart w:id="0" w:name="_GoBack"/>
      <w:bookmarkEnd w:id="0"/>
    </w:p>
    <w:p w14:paraId="4A0157B0" w14:textId="77777777" w:rsidR="00232BAC" w:rsidRPr="00427703" w:rsidRDefault="00232BAC" w:rsidP="00232BAC">
      <w:pPr>
        <w:ind w:left="30"/>
        <w:jc w:val="center"/>
        <w:rPr>
          <w:rFonts w:ascii="Garamond" w:hAnsi="Garamond" w:cs="Tahoma"/>
          <w:sz w:val="24"/>
          <w:szCs w:val="24"/>
        </w:rPr>
      </w:pPr>
    </w:p>
    <w:p w14:paraId="308DE08B" w14:textId="77777777" w:rsidR="00232BAC" w:rsidRPr="00427703" w:rsidRDefault="00232BAC" w:rsidP="00232BAC">
      <w:pPr>
        <w:rPr>
          <w:rFonts w:ascii="Garamond" w:hAnsi="Garamond"/>
          <w:sz w:val="24"/>
          <w:szCs w:val="24"/>
        </w:rPr>
      </w:pPr>
    </w:p>
    <w:p w14:paraId="4931579C" w14:textId="3EE1FEB6" w:rsidR="00F806B7" w:rsidRPr="00427703" w:rsidRDefault="00F806B7" w:rsidP="00745486">
      <w:pPr>
        <w:rPr>
          <w:sz w:val="24"/>
          <w:szCs w:val="24"/>
        </w:rPr>
      </w:pPr>
    </w:p>
    <w:sectPr w:rsidR="00F806B7" w:rsidRPr="00427703" w:rsidSect="009376E0">
      <w:headerReference w:type="default" r:id="rId9"/>
      <w:footerReference w:type="default" r:id="rId10"/>
      <w:pgSz w:w="11906" w:h="16838" w:code="9"/>
      <w:pgMar w:top="1701" w:right="1134" w:bottom="1701" w:left="1701"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4FBC5" w14:textId="77777777" w:rsidR="004E0F52" w:rsidRDefault="004E0F52" w:rsidP="0012525E">
      <w:pPr>
        <w:spacing w:line="240" w:lineRule="auto"/>
      </w:pPr>
      <w:r>
        <w:separator/>
      </w:r>
    </w:p>
  </w:endnote>
  <w:endnote w:type="continuationSeparator" w:id="0">
    <w:p w14:paraId="51C14800" w14:textId="77777777" w:rsidR="004E0F52" w:rsidRDefault="004E0F52" w:rsidP="00125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asual">
    <w:panose1 w:val="020B0604020202020204"/>
    <w:charset w:val="00"/>
    <w:family w:val="script"/>
    <w:pitch w:val="variable"/>
    <w:sig w:usb0="00000001" w:usb1="00000000" w:usb2="00000000" w:usb3="00000000" w:csb0="00000013" w:csb1="00000000"/>
  </w:font>
  <w:font w:name="President">
    <w:altName w:val="Papyrus"/>
    <w:panose1 w:val="020B06040202020202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Quorum Blk BT">
    <w:altName w:val="Segoe Script"/>
    <w:panose1 w:val="020B0604020202020204"/>
    <w:charset w:val="00"/>
    <w:family w:val="swiss"/>
    <w:pitch w:val="variable"/>
    <w:sig w:usb0="00000001" w:usb1="00000000" w:usb2="00000000" w:usb3="00000000" w:csb0="0000001B" w:csb1="00000000"/>
  </w:font>
  <w:font w:name="Segoe UI">
    <w:panose1 w:val="020B0604020202020204"/>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E2FB" w14:textId="77777777" w:rsidR="00497ACA" w:rsidRDefault="00497ACA">
    <w:pPr>
      <w:pStyle w:val="Rodap"/>
      <w:jc w:val="right"/>
    </w:pPr>
    <w:r>
      <w:fldChar w:fldCharType="begin"/>
    </w:r>
    <w:r>
      <w:instrText>PAGE   \* MERGEFORMAT</w:instrText>
    </w:r>
    <w:r>
      <w:fldChar w:fldCharType="separate"/>
    </w:r>
    <w:r w:rsidR="00C66AB1">
      <w:rPr>
        <w:noProof/>
      </w:rPr>
      <w:t>9</w:t>
    </w:r>
    <w:r>
      <w:fldChar w:fldCharType="end"/>
    </w:r>
  </w:p>
  <w:p w14:paraId="3DEEC669" w14:textId="77777777" w:rsidR="00497ACA" w:rsidRDefault="00497A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0BFF9" w14:textId="77777777" w:rsidR="004E0F52" w:rsidRDefault="004E0F52" w:rsidP="0012525E">
      <w:pPr>
        <w:spacing w:line="240" w:lineRule="auto"/>
      </w:pPr>
      <w:r>
        <w:separator/>
      </w:r>
    </w:p>
  </w:footnote>
  <w:footnote w:type="continuationSeparator" w:id="0">
    <w:p w14:paraId="6D037E01" w14:textId="77777777" w:rsidR="004E0F52" w:rsidRDefault="004E0F52" w:rsidP="001252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B940D" w14:textId="77777777" w:rsidR="00497ACA" w:rsidRDefault="00497ACA" w:rsidP="000343E3">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90E"/>
    <w:multiLevelType w:val="hybridMultilevel"/>
    <w:tmpl w:val="069AAB5E"/>
    <w:lvl w:ilvl="0" w:tplc="C7627BA6">
      <w:start w:val="1"/>
      <w:numFmt w:val="decimal"/>
      <w:lvlText w:val="%1."/>
      <w:lvlJc w:val="left"/>
      <w:pPr>
        <w:ind w:left="1770" w:hanging="141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D1BB9"/>
    <w:multiLevelType w:val="hybridMultilevel"/>
    <w:tmpl w:val="5B3EDC54"/>
    <w:lvl w:ilvl="0" w:tplc="A6103BAC">
      <w:start w:val="1"/>
      <w:numFmt w:val="decimal"/>
      <w:lvlText w:val="%1."/>
      <w:lvlJc w:val="left"/>
      <w:pPr>
        <w:tabs>
          <w:tab w:val="num" w:pos="1635"/>
        </w:tabs>
        <w:ind w:left="0" w:firstLine="0"/>
      </w:pPr>
      <w:rPr>
        <w:rFonts w:ascii="Calibri" w:hAnsi="Calibri" w:hint="default"/>
        <w:b/>
        <w:i w:val="0"/>
        <w:sz w:val="28"/>
        <w:szCs w:val="28"/>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8B57320"/>
    <w:multiLevelType w:val="hybridMultilevel"/>
    <w:tmpl w:val="D1A2B7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362037"/>
    <w:multiLevelType w:val="hybridMultilevel"/>
    <w:tmpl w:val="442A575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424043B4"/>
    <w:multiLevelType w:val="hybridMultilevel"/>
    <w:tmpl w:val="008655B4"/>
    <w:lvl w:ilvl="0" w:tplc="053C23C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E46EE4"/>
    <w:multiLevelType w:val="hybridMultilevel"/>
    <w:tmpl w:val="C1209D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2F6225"/>
    <w:multiLevelType w:val="hybridMultilevel"/>
    <w:tmpl w:val="51A0DF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0D1AD6"/>
    <w:multiLevelType w:val="hybridMultilevel"/>
    <w:tmpl w:val="C7244F14"/>
    <w:lvl w:ilvl="0" w:tplc="2CC87836">
      <w:start w:val="1"/>
      <w:numFmt w:val="upperLetter"/>
      <w:lvlText w:val="(%1)"/>
      <w:lvlJc w:val="left"/>
      <w:pPr>
        <w:ind w:left="840" w:hanging="48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7"/>
  </w:num>
  <w:num w:numId="5">
    <w:abstractNumId w:val="6"/>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50"/>
    <w:rsid w:val="000024DE"/>
    <w:rsid w:val="0001072C"/>
    <w:rsid w:val="000131B7"/>
    <w:rsid w:val="00032E90"/>
    <w:rsid w:val="000343E3"/>
    <w:rsid w:val="00056B70"/>
    <w:rsid w:val="0007767A"/>
    <w:rsid w:val="00082D51"/>
    <w:rsid w:val="000913A0"/>
    <w:rsid w:val="000A13B6"/>
    <w:rsid w:val="000B11F1"/>
    <w:rsid w:val="000B5848"/>
    <w:rsid w:val="000C2D05"/>
    <w:rsid w:val="000C6666"/>
    <w:rsid w:val="000D28DE"/>
    <w:rsid w:val="000D3379"/>
    <w:rsid w:val="000D3CD0"/>
    <w:rsid w:val="000E4DCC"/>
    <w:rsid w:val="000F7E27"/>
    <w:rsid w:val="00100363"/>
    <w:rsid w:val="00105075"/>
    <w:rsid w:val="00113F05"/>
    <w:rsid w:val="00114CC5"/>
    <w:rsid w:val="0011581E"/>
    <w:rsid w:val="001248D4"/>
    <w:rsid w:val="00124E03"/>
    <w:rsid w:val="0012525E"/>
    <w:rsid w:val="00135EDA"/>
    <w:rsid w:val="00136CA2"/>
    <w:rsid w:val="00137EEE"/>
    <w:rsid w:val="00146203"/>
    <w:rsid w:val="001525D4"/>
    <w:rsid w:val="001841F5"/>
    <w:rsid w:val="0019713B"/>
    <w:rsid w:val="0019727B"/>
    <w:rsid w:val="00197D85"/>
    <w:rsid w:val="001A02A9"/>
    <w:rsid w:val="001A13EE"/>
    <w:rsid w:val="001B0B14"/>
    <w:rsid w:val="001D1885"/>
    <w:rsid w:val="001F1E1D"/>
    <w:rsid w:val="001F359B"/>
    <w:rsid w:val="001F3D8C"/>
    <w:rsid w:val="0021383D"/>
    <w:rsid w:val="00214215"/>
    <w:rsid w:val="002164A9"/>
    <w:rsid w:val="00216D43"/>
    <w:rsid w:val="0022145E"/>
    <w:rsid w:val="00221988"/>
    <w:rsid w:val="00232BAC"/>
    <w:rsid w:val="0024582B"/>
    <w:rsid w:val="0025311C"/>
    <w:rsid w:val="00253955"/>
    <w:rsid w:val="00260720"/>
    <w:rsid w:val="002672DD"/>
    <w:rsid w:val="00284080"/>
    <w:rsid w:val="002B043D"/>
    <w:rsid w:val="002B46E5"/>
    <w:rsid w:val="002B48B5"/>
    <w:rsid w:val="002B5000"/>
    <w:rsid w:val="002D20DB"/>
    <w:rsid w:val="002D6B5E"/>
    <w:rsid w:val="002E6588"/>
    <w:rsid w:val="002F7C2C"/>
    <w:rsid w:val="003011B4"/>
    <w:rsid w:val="0030668C"/>
    <w:rsid w:val="00313F37"/>
    <w:rsid w:val="00333B5C"/>
    <w:rsid w:val="003366FE"/>
    <w:rsid w:val="003545E2"/>
    <w:rsid w:val="003605AE"/>
    <w:rsid w:val="00361752"/>
    <w:rsid w:val="003628A8"/>
    <w:rsid w:val="00371562"/>
    <w:rsid w:val="00374BE4"/>
    <w:rsid w:val="00385AE8"/>
    <w:rsid w:val="00391EF1"/>
    <w:rsid w:val="00392DA2"/>
    <w:rsid w:val="003957EB"/>
    <w:rsid w:val="00395BE5"/>
    <w:rsid w:val="003A3B5D"/>
    <w:rsid w:val="003A6289"/>
    <w:rsid w:val="003A6316"/>
    <w:rsid w:val="003C39C2"/>
    <w:rsid w:val="003D3A6A"/>
    <w:rsid w:val="003F424B"/>
    <w:rsid w:val="003F4C0D"/>
    <w:rsid w:val="00404E9F"/>
    <w:rsid w:val="004141B0"/>
    <w:rsid w:val="00422F08"/>
    <w:rsid w:val="00427473"/>
    <w:rsid w:val="00427593"/>
    <w:rsid w:val="00427703"/>
    <w:rsid w:val="004277BD"/>
    <w:rsid w:val="004304F6"/>
    <w:rsid w:val="00440D51"/>
    <w:rsid w:val="0044206C"/>
    <w:rsid w:val="00443C05"/>
    <w:rsid w:val="0045178D"/>
    <w:rsid w:val="00452FED"/>
    <w:rsid w:val="00464331"/>
    <w:rsid w:val="00465305"/>
    <w:rsid w:val="0047099E"/>
    <w:rsid w:val="00470E13"/>
    <w:rsid w:val="00473205"/>
    <w:rsid w:val="00482238"/>
    <w:rsid w:val="00483989"/>
    <w:rsid w:val="00497ACA"/>
    <w:rsid w:val="004A5152"/>
    <w:rsid w:val="004B112A"/>
    <w:rsid w:val="004B193D"/>
    <w:rsid w:val="004D04B0"/>
    <w:rsid w:val="004D5F5D"/>
    <w:rsid w:val="004E0F52"/>
    <w:rsid w:val="004E17C4"/>
    <w:rsid w:val="004E5586"/>
    <w:rsid w:val="004E7315"/>
    <w:rsid w:val="004F4B90"/>
    <w:rsid w:val="004F76D8"/>
    <w:rsid w:val="00511627"/>
    <w:rsid w:val="00512CD4"/>
    <w:rsid w:val="005151A1"/>
    <w:rsid w:val="00546EA6"/>
    <w:rsid w:val="0055236A"/>
    <w:rsid w:val="00564A8D"/>
    <w:rsid w:val="00565DD0"/>
    <w:rsid w:val="0057325B"/>
    <w:rsid w:val="00581192"/>
    <w:rsid w:val="00590776"/>
    <w:rsid w:val="005975D2"/>
    <w:rsid w:val="005A6E9C"/>
    <w:rsid w:val="005B0DEE"/>
    <w:rsid w:val="005B4A3F"/>
    <w:rsid w:val="005B64AD"/>
    <w:rsid w:val="005C3656"/>
    <w:rsid w:val="005D383B"/>
    <w:rsid w:val="005D7F6A"/>
    <w:rsid w:val="006136B5"/>
    <w:rsid w:val="0061433B"/>
    <w:rsid w:val="006165EF"/>
    <w:rsid w:val="0062697F"/>
    <w:rsid w:val="00626F0E"/>
    <w:rsid w:val="00634D80"/>
    <w:rsid w:val="00637240"/>
    <w:rsid w:val="00653F5F"/>
    <w:rsid w:val="006552BC"/>
    <w:rsid w:val="00655F96"/>
    <w:rsid w:val="00662096"/>
    <w:rsid w:val="00686FCE"/>
    <w:rsid w:val="00693A72"/>
    <w:rsid w:val="006940EC"/>
    <w:rsid w:val="006A34F4"/>
    <w:rsid w:val="006A799A"/>
    <w:rsid w:val="006B189C"/>
    <w:rsid w:val="006C4334"/>
    <w:rsid w:val="006C5FBE"/>
    <w:rsid w:val="006D00DD"/>
    <w:rsid w:val="006D3266"/>
    <w:rsid w:val="006D7C68"/>
    <w:rsid w:val="006E05A2"/>
    <w:rsid w:val="006E643A"/>
    <w:rsid w:val="006E72D9"/>
    <w:rsid w:val="006E77D6"/>
    <w:rsid w:val="006E7C35"/>
    <w:rsid w:val="006E7FD3"/>
    <w:rsid w:val="006F1DA1"/>
    <w:rsid w:val="006F3DA1"/>
    <w:rsid w:val="006F4112"/>
    <w:rsid w:val="006F6D7E"/>
    <w:rsid w:val="00700D46"/>
    <w:rsid w:val="00702208"/>
    <w:rsid w:val="00702710"/>
    <w:rsid w:val="0072162D"/>
    <w:rsid w:val="007356D0"/>
    <w:rsid w:val="00744DB2"/>
    <w:rsid w:val="007451E0"/>
    <w:rsid w:val="00745486"/>
    <w:rsid w:val="007608A3"/>
    <w:rsid w:val="007862B8"/>
    <w:rsid w:val="00794044"/>
    <w:rsid w:val="00795E49"/>
    <w:rsid w:val="00797BCD"/>
    <w:rsid w:val="007A0573"/>
    <w:rsid w:val="007A6C46"/>
    <w:rsid w:val="007B167C"/>
    <w:rsid w:val="007B2A36"/>
    <w:rsid w:val="007B6AF1"/>
    <w:rsid w:val="007D0B0F"/>
    <w:rsid w:val="007D2147"/>
    <w:rsid w:val="007D7498"/>
    <w:rsid w:val="007D7D8A"/>
    <w:rsid w:val="007F2322"/>
    <w:rsid w:val="00802EF8"/>
    <w:rsid w:val="00814450"/>
    <w:rsid w:val="00824A9F"/>
    <w:rsid w:val="0082589E"/>
    <w:rsid w:val="00826651"/>
    <w:rsid w:val="00834950"/>
    <w:rsid w:val="008369E3"/>
    <w:rsid w:val="008415CA"/>
    <w:rsid w:val="00851FC3"/>
    <w:rsid w:val="00853478"/>
    <w:rsid w:val="00854FB3"/>
    <w:rsid w:val="0086445F"/>
    <w:rsid w:val="008706DE"/>
    <w:rsid w:val="0088449B"/>
    <w:rsid w:val="00885835"/>
    <w:rsid w:val="00890CA6"/>
    <w:rsid w:val="0089676E"/>
    <w:rsid w:val="008A4419"/>
    <w:rsid w:val="008B3001"/>
    <w:rsid w:val="008C15F5"/>
    <w:rsid w:val="008C542F"/>
    <w:rsid w:val="008D0816"/>
    <w:rsid w:val="008D372F"/>
    <w:rsid w:val="008E1A94"/>
    <w:rsid w:val="008E2E44"/>
    <w:rsid w:val="008F1046"/>
    <w:rsid w:val="008F6F33"/>
    <w:rsid w:val="008F6F45"/>
    <w:rsid w:val="00906059"/>
    <w:rsid w:val="00923073"/>
    <w:rsid w:val="00925D37"/>
    <w:rsid w:val="00933433"/>
    <w:rsid w:val="00934178"/>
    <w:rsid w:val="00936CD8"/>
    <w:rsid w:val="009376E0"/>
    <w:rsid w:val="00945D6C"/>
    <w:rsid w:val="00951ED1"/>
    <w:rsid w:val="0095286C"/>
    <w:rsid w:val="00955134"/>
    <w:rsid w:val="00964169"/>
    <w:rsid w:val="00970854"/>
    <w:rsid w:val="00971169"/>
    <w:rsid w:val="00977496"/>
    <w:rsid w:val="009833CE"/>
    <w:rsid w:val="00986E13"/>
    <w:rsid w:val="0098743E"/>
    <w:rsid w:val="0098746C"/>
    <w:rsid w:val="00990027"/>
    <w:rsid w:val="009B3D28"/>
    <w:rsid w:val="009C19E8"/>
    <w:rsid w:val="009C5635"/>
    <w:rsid w:val="009D1107"/>
    <w:rsid w:val="009E7ACE"/>
    <w:rsid w:val="00A1189B"/>
    <w:rsid w:val="00A26A75"/>
    <w:rsid w:val="00A3612B"/>
    <w:rsid w:val="00A36FE3"/>
    <w:rsid w:val="00A40025"/>
    <w:rsid w:val="00A42405"/>
    <w:rsid w:val="00A430C3"/>
    <w:rsid w:val="00A50BA2"/>
    <w:rsid w:val="00A5108A"/>
    <w:rsid w:val="00A52557"/>
    <w:rsid w:val="00A53029"/>
    <w:rsid w:val="00A7219B"/>
    <w:rsid w:val="00A72791"/>
    <w:rsid w:val="00A742A5"/>
    <w:rsid w:val="00A82EFD"/>
    <w:rsid w:val="00A93CAA"/>
    <w:rsid w:val="00A97ECA"/>
    <w:rsid w:val="00AA7698"/>
    <w:rsid w:val="00AB0600"/>
    <w:rsid w:val="00AB27FB"/>
    <w:rsid w:val="00AB7D4F"/>
    <w:rsid w:val="00AD62DD"/>
    <w:rsid w:val="00AE1441"/>
    <w:rsid w:val="00B10D0F"/>
    <w:rsid w:val="00B35B33"/>
    <w:rsid w:val="00B51DDF"/>
    <w:rsid w:val="00B63CB3"/>
    <w:rsid w:val="00B63CC2"/>
    <w:rsid w:val="00B64A76"/>
    <w:rsid w:val="00B662B4"/>
    <w:rsid w:val="00B84601"/>
    <w:rsid w:val="00B9175F"/>
    <w:rsid w:val="00BA37A7"/>
    <w:rsid w:val="00BB010E"/>
    <w:rsid w:val="00BB56F0"/>
    <w:rsid w:val="00BC7A21"/>
    <w:rsid w:val="00BD3DCB"/>
    <w:rsid w:val="00BE1252"/>
    <w:rsid w:val="00BE1D4A"/>
    <w:rsid w:val="00BE3DB7"/>
    <w:rsid w:val="00BF2D98"/>
    <w:rsid w:val="00BF5923"/>
    <w:rsid w:val="00BF63E5"/>
    <w:rsid w:val="00C010EC"/>
    <w:rsid w:val="00C01D4E"/>
    <w:rsid w:val="00C111DA"/>
    <w:rsid w:val="00C32F67"/>
    <w:rsid w:val="00C33DBE"/>
    <w:rsid w:val="00C33F36"/>
    <w:rsid w:val="00C36B6B"/>
    <w:rsid w:val="00C42DB9"/>
    <w:rsid w:val="00C44121"/>
    <w:rsid w:val="00C53AD9"/>
    <w:rsid w:val="00C56C73"/>
    <w:rsid w:val="00C62376"/>
    <w:rsid w:val="00C62E31"/>
    <w:rsid w:val="00C632A9"/>
    <w:rsid w:val="00C66AB1"/>
    <w:rsid w:val="00C760B6"/>
    <w:rsid w:val="00CA2F9E"/>
    <w:rsid w:val="00CA38B2"/>
    <w:rsid w:val="00CA61A6"/>
    <w:rsid w:val="00CC629C"/>
    <w:rsid w:val="00CD3FD7"/>
    <w:rsid w:val="00CD7380"/>
    <w:rsid w:val="00CE410C"/>
    <w:rsid w:val="00CF589C"/>
    <w:rsid w:val="00D005B3"/>
    <w:rsid w:val="00D00FC5"/>
    <w:rsid w:val="00D11DE0"/>
    <w:rsid w:val="00D14DAF"/>
    <w:rsid w:val="00D24B75"/>
    <w:rsid w:val="00D26353"/>
    <w:rsid w:val="00D30656"/>
    <w:rsid w:val="00D30D67"/>
    <w:rsid w:val="00D34AAA"/>
    <w:rsid w:val="00D52F63"/>
    <w:rsid w:val="00D5506D"/>
    <w:rsid w:val="00D62903"/>
    <w:rsid w:val="00D651F9"/>
    <w:rsid w:val="00D67A41"/>
    <w:rsid w:val="00D67AAC"/>
    <w:rsid w:val="00D70FBB"/>
    <w:rsid w:val="00D953E2"/>
    <w:rsid w:val="00D97C00"/>
    <w:rsid w:val="00DA13BB"/>
    <w:rsid w:val="00DA64B4"/>
    <w:rsid w:val="00DB5F2D"/>
    <w:rsid w:val="00DB740F"/>
    <w:rsid w:val="00DF4E08"/>
    <w:rsid w:val="00DF617D"/>
    <w:rsid w:val="00E03580"/>
    <w:rsid w:val="00E05435"/>
    <w:rsid w:val="00E1250D"/>
    <w:rsid w:val="00E13BBE"/>
    <w:rsid w:val="00E42A04"/>
    <w:rsid w:val="00E42EFB"/>
    <w:rsid w:val="00E43298"/>
    <w:rsid w:val="00E5013D"/>
    <w:rsid w:val="00E55DE3"/>
    <w:rsid w:val="00E56C9C"/>
    <w:rsid w:val="00E57D11"/>
    <w:rsid w:val="00E647BF"/>
    <w:rsid w:val="00E67E6B"/>
    <w:rsid w:val="00E75579"/>
    <w:rsid w:val="00E84732"/>
    <w:rsid w:val="00E8500C"/>
    <w:rsid w:val="00E8532E"/>
    <w:rsid w:val="00E86059"/>
    <w:rsid w:val="00E873A4"/>
    <w:rsid w:val="00EB71A5"/>
    <w:rsid w:val="00EC14B8"/>
    <w:rsid w:val="00EC5071"/>
    <w:rsid w:val="00EE00EF"/>
    <w:rsid w:val="00EE18E5"/>
    <w:rsid w:val="00EE26B7"/>
    <w:rsid w:val="00EF7553"/>
    <w:rsid w:val="00F1688A"/>
    <w:rsid w:val="00F22E32"/>
    <w:rsid w:val="00F246A7"/>
    <w:rsid w:val="00F273B5"/>
    <w:rsid w:val="00F27600"/>
    <w:rsid w:val="00F41BF4"/>
    <w:rsid w:val="00F72FFB"/>
    <w:rsid w:val="00F806B7"/>
    <w:rsid w:val="00F81962"/>
    <w:rsid w:val="00FA747D"/>
    <w:rsid w:val="00FB47B1"/>
    <w:rsid w:val="00FD1514"/>
    <w:rsid w:val="00FD3207"/>
    <w:rsid w:val="00FD7E9E"/>
    <w:rsid w:val="00FE57E0"/>
    <w:rsid w:val="00FF446D"/>
    <w:rsid w:val="2261621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0AB72"/>
  <w15:chartTrackingRefBased/>
  <w15:docId w15:val="{22328E51-7DDA-4AD2-9BBB-A6F01CD1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532E"/>
    <w:pPr>
      <w:suppressAutoHyphens/>
      <w:overflowPunct w:val="0"/>
      <w:autoSpaceDE w:val="0"/>
      <w:autoSpaceDN w:val="0"/>
      <w:adjustRightInd w:val="0"/>
      <w:spacing w:line="320" w:lineRule="atLeast"/>
      <w:jc w:val="both"/>
      <w:textAlignment w:val="baseline"/>
    </w:pPr>
    <w:rPr>
      <w:rFonts w:ascii="Courier New" w:eastAsia="Times New Roman" w:hAnsi="Courier New"/>
      <w:kern w:val="18"/>
      <w:sz w:val="22"/>
      <w:lang w:eastAsia="pt-BR"/>
    </w:rPr>
  </w:style>
  <w:style w:type="paragraph" w:styleId="Ttulo2">
    <w:name w:val="heading 2"/>
    <w:basedOn w:val="Normal"/>
    <w:link w:val="Ttulo2Char"/>
    <w:uiPriority w:val="9"/>
    <w:qFormat/>
    <w:rsid w:val="00452FED"/>
    <w:pPr>
      <w:suppressAutoHyphens w:val="0"/>
      <w:overflowPunct/>
      <w:autoSpaceDE/>
      <w:autoSpaceDN/>
      <w:adjustRightInd/>
      <w:spacing w:before="100" w:beforeAutospacing="1" w:after="100" w:afterAutospacing="1" w:line="240" w:lineRule="auto"/>
      <w:jc w:val="left"/>
      <w:textAlignment w:val="auto"/>
      <w:outlineLvl w:val="1"/>
    </w:pPr>
    <w:rPr>
      <w:rFonts w:ascii="Times New Roman" w:hAnsi="Times New Roman"/>
      <w:b/>
      <w:bCs/>
      <w:kern w:val="0"/>
      <w:sz w:val="36"/>
      <w:szCs w:val="36"/>
    </w:rPr>
  </w:style>
  <w:style w:type="paragraph" w:styleId="Ttulo3">
    <w:name w:val="heading 3"/>
    <w:basedOn w:val="Normal"/>
    <w:link w:val="Ttulo3Char"/>
    <w:uiPriority w:val="9"/>
    <w:qFormat/>
    <w:rsid w:val="00452FED"/>
    <w:pPr>
      <w:suppressAutoHyphens w:val="0"/>
      <w:overflowPunct/>
      <w:autoSpaceDE/>
      <w:autoSpaceDN/>
      <w:adjustRightInd/>
      <w:spacing w:before="100" w:beforeAutospacing="1" w:after="100" w:afterAutospacing="1" w:line="240" w:lineRule="auto"/>
      <w:jc w:val="left"/>
      <w:textAlignment w:val="auto"/>
      <w:outlineLvl w:val="2"/>
    </w:pPr>
    <w:rPr>
      <w:rFonts w:ascii="Times New Roman" w:hAnsi="Times New Roman"/>
      <w:b/>
      <w:bCs/>
      <w:kern w:val="0"/>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CabealhoChar">
    <w:name w:val="Cabeçalho Char"/>
    <w:basedOn w:val="Fontepargpadro"/>
    <w:link w:val="Cabealho"/>
    <w:uiPriority w:val="99"/>
    <w:rsid w:val="0012525E"/>
  </w:style>
  <w:style w:type="paragraph" w:styleId="Rodap">
    <w:name w:val="footer"/>
    <w:basedOn w:val="Normal"/>
    <w:link w:val="Rodap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RodapChar">
    <w:name w:val="Rodapé Char"/>
    <w:basedOn w:val="Fontepargpadro"/>
    <w:link w:val="Rodap"/>
    <w:uiPriority w:val="99"/>
    <w:rsid w:val="0012525E"/>
  </w:style>
  <w:style w:type="paragraph" w:customStyle="1" w:styleId="Nome">
    <w:name w:val="Nome"/>
    <w:basedOn w:val="Normal"/>
    <w:rsid w:val="00E8532E"/>
    <w:pPr>
      <w:jc w:val="center"/>
    </w:pPr>
    <w:rPr>
      <w:rFonts w:ascii="Lucida Casual" w:hAnsi="Lucida Casual"/>
      <w:b/>
      <w:color w:val="0000FF"/>
    </w:rPr>
  </w:style>
  <w:style w:type="paragraph" w:styleId="Citao">
    <w:name w:val="Quote"/>
    <w:basedOn w:val="Normal"/>
    <w:link w:val="CitaoChar"/>
    <w:qFormat/>
    <w:rsid w:val="00E8532E"/>
    <w:rPr>
      <w:rFonts w:ascii="President" w:hAnsi="President"/>
      <w:sz w:val="28"/>
    </w:rPr>
  </w:style>
  <w:style w:type="character" w:customStyle="1" w:styleId="CitaoChar">
    <w:name w:val="Citação Char"/>
    <w:link w:val="Citao"/>
    <w:rsid w:val="00E8532E"/>
    <w:rPr>
      <w:rFonts w:ascii="President" w:eastAsia="Times New Roman" w:hAnsi="President" w:cs="Times New Roman"/>
      <w:kern w:val="18"/>
      <w:sz w:val="28"/>
      <w:szCs w:val="20"/>
      <w:lang w:eastAsia="pt-BR"/>
    </w:rPr>
  </w:style>
  <w:style w:type="paragraph" w:styleId="Corpodetexto">
    <w:name w:val="Body Text"/>
    <w:basedOn w:val="Normal"/>
    <w:link w:val="CorpodetextoChar"/>
    <w:rsid w:val="004F76D8"/>
    <w:pPr>
      <w:widowControl w:val="0"/>
      <w:overflowPunct/>
      <w:autoSpaceDE/>
      <w:autoSpaceDN/>
      <w:adjustRightInd/>
      <w:spacing w:after="120" w:line="240" w:lineRule="auto"/>
      <w:jc w:val="left"/>
      <w:textAlignment w:val="auto"/>
    </w:pPr>
    <w:rPr>
      <w:rFonts w:ascii="Times New Roman" w:eastAsia="Lucida Sans Unicode" w:hAnsi="Times New Roman"/>
      <w:kern w:val="1"/>
      <w:sz w:val="24"/>
      <w:szCs w:val="24"/>
    </w:rPr>
  </w:style>
  <w:style w:type="character" w:customStyle="1" w:styleId="CorpodetextoChar">
    <w:name w:val="Corpo de texto Char"/>
    <w:link w:val="Corpodetexto"/>
    <w:rsid w:val="004F76D8"/>
    <w:rPr>
      <w:rFonts w:ascii="Times New Roman" w:eastAsia="Lucida Sans Unicode" w:hAnsi="Times New Roman" w:cs="Times New Roman"/>
      <w:kern w:val="1"/>
      <w:sz w:val="24"/>
      <w:szCs w:val="24"/>
    </w:rPr>
  </w:style>
  <w:style w:type="paragraph" w:styleId="NormalWeb">
    <w:name w:val="Normal (Web)"/>
    <w:basedOn w:val="Normal"/>
    <w:uiPriority w:val="99"/>
    <w:rsid w:val="004F76D8"/>
    <w:pPr>
      <w:overflowPunct/>
      <w:autoSpaceDE/>
      <w:autoSpaceDN/>
      <w:adjustRightInd/>
      <w:spacing w:before="100" w:after="100" w:line="240" w:lineRule="auto"/>
      <w:jc w:val="left"/>
      <w:textAlignment w:val="auto"/>
    </w:pPr>
    <w:rPr>
      <w:rFonts w:ascii="Times New Roman" w:hAnsi="Times New Roman"/>
      <w:kern w:val="0"/>
      <w:sz w:val="24"/>
      <w:szCs w:val="24"/>
      <w:lang w:eastAsia="ar-SA"/>
    </w:rPr>
  </w:style>
  <w:style w:type="paragraph" w:styleId="PargrafodaLista">
    <w:name w:val="List Paragraph"/>
    <w:basedOn w:val="Normal"/>
    <w:uiPriority w:val="34"/>
    <w:qFormat/>
    <w:rsid w:val="00BE1D4A"/>
    <w:pPr>
      <w:ind w:left="708"/>
    </w:pPr>
  </w:style>
  <w:style w:type="paragraph" w:styleId="Recuodecorpodetexto">
    <w:name w:val="Body Text Indent"/>
    <w:basedOn w:val="Normal"/>
    <w:link w:val="RecuodecorpodetextoChar"/>
    <w:uiPriority w:val="99"/>
    <w:unhideWhenUsed/>
    <w:rsid w:val="00CA38B2"/>
    <w:pPr>
      <w:suppressAutoHyphens w:val="0"/>
      <w:overflowPunct/>
      <w:autoSpaceDE/>
      <w:autoSpaceDN/>
      <w:adjustRightInd/>
      <w:spacing w:after="120" w:line="240" w:lineRule="auto"/>
      <w:ind w:left="283"/>
      <w:jc w:val="left"/>
      <w:textAlignment w:val="auto"/>
    </w:pPr>
    <w:rPr>
      <w:rFonts w:ascii="Times New Roman" w:hAnsi="Times New Roman"/>
      <w:kern w:val="0"/>
      <w:sz w:val="24"/>
      <w:szCs w:val="24"/>
    </w:rPr>
  </w:style>
  <w:style w:type="character" w:customStyle="1" w:styleId="RecuodecorpodetextoChar">
    <w:name w:val="Recuo de corpo de texto Char"/>
    <w:link w:val="Recuodecorpodetexto"/>
    <w:uiPriority w:val="99"/>
    <w:rsid w:val="00CA38B2"/>
    <w:rPr>
      <w:rFonts w:ascii="Times New Roman" w:eastAsia="Times New Roman" w:hAnsi="Times New Roman"/>
      <w:sz w:val="24"/>
      <w:szCs w:val="24"/>
    </w:rPr>
  </w:style>
  <w:style w:type="paragraph" w:customStyle="1" w:styleId="western">
    <w:name w:val="western"/>
    <w:basedOn w:val="Normal"/>
    <w:rsid w:val="00BF63E5"/>
    <w:pPr>
      <w:suppressAutoHyphens w:val="0"/>
      <w:overflowPunct/>
      <w:autoSpaceDE/>
      <w:autoSpaceDN/>
      <w:adjustRightInd/>
      <w:spacing w:before="100" w:beforeAutospacing="1" w:after="119" w:line="240" w:lineRule="auto"/>
      <w:jc w:val="left"/>
      <w:textAlignment w:val="auto"/>
    </w:pPr>
    <w:rPr>
      <w:rFonts w:ascii="Times New Roman" w:eastAsia="SimSun" w:hAnsi="Times New Roman"/>
      <w:kern w:val="0"/>
      <w:sz w:val="24"/>
      <w:szCs w:val="24"/>
      <w:lang w:eastAsia="zh-CN"/>
    </w:rPr>
  </w:style>
  <w:style w:type="paragraph" w:styleId="Textoembloco">
    <w:name w:val="Block Text"/>
    <w:basedOn w:val="Normal"/>
    <w:semiHidden/>
    <w:rsid w:val="00933433"/>
    <w:pPr>
      <w:suppressAutoHyphens w:val="0"/>
      <w:overflowPunct/>
      <w:autoSpaceDE/>
      <w:autoSpaceDN/>
      <w:adjustRightInd/>
      <w:spacing w:line="240" w:lineRule="auto"/>
      <w:ind w:left="2835" w:right="2268"/>
      <w:textAlignment w:val="auto"/>
    </w:pPr>
    <w:rPr>
      <w:rFonts w:ascii="Comic Sans MS" w:hAnsi="Comic Sans MS"/>
      <w:i/>
      <w:kern w:val="0"/>
      <w:sz w:val="26"/>
    </w:rPr>
  </w:style>
  <w:style w:type="paragraph" w:styleId="Textodenotaderodap">
    <w:name w:val="footnote text"/>
    <w:basedOn w:val="Normal"/>
    <w:link w:val="TextodenotaderodapChar"/>
    <w:uiPriority w:val="99"/>
    <w:semiHidden/>
    <w:unhideWhenUsed/>
    <w:rsid w:val="00B35B33"/>
    <w:rPr>
      <w:sz w:val="20"/>
    </w:rPr>
  </w:style>
  <w:style w:type="character" w:customStyle="1" w:styleId="TextodenotaderodapChar">
    <w:name w:val="Texto de nota de rodapé Char"/>
    <w:link w:val="Textodenotaderodap"/>
    <w:uiPriority w:val="99"/>
    <w:semiHidden/>
    <w:rsid w:val="00B35B33"/>
    <w:rPr>
      <w:rFonts w:ascii="Courier New" w:eastAsia="Times New Roman" w:hAnsi="Courier New"/>
      <w:kern w:val="18"/>
    </w:rPr>
  </w:style>
  <w:style w:type="character" w:styleId="Refdenotaderodap">
    <w:name w:val="footnote reference"/>
    <w:uiPriority w:val="99"/>
    <w:semiHidden/>
    <w:unhideWhenUsed/>
    <w:rsid w:val="00B35B33"/>
    <w:rPr>
      <w:vertAlign w:val="superscript"/>
    </w:rPr>
  </w:style>
  <w:style w:type="character" w:styleId="Hyperlink">
    <w:name w:val="Hyperlink"/>
    <w:uiPriority w:val="99"/>
    <w:unhideWhenUsed/>
    <w:rsid w:val="006E7FD3"/>
    <w:rPr>
      <w:color w:val="0000FF"/>
      <w:u w:val="single"/>
    </w:rPr>
  </w:style>
  <w:style w:type="character" w:customStyle="1" w:styleId="WW8Num1z0">
    <w:name w:val="WW8Num1z0"/>
    <w:rsid w:val="005B64AD"/>
    <w:rPr>
      <w:rFonts w:ascii="Quorum Blk BT" w:hAnsi="Quorum Blk BT"/>
      <w:sz w:val="28"/>
      <w:szCs w:val="28"/>
    </w:rPr>
  </w:style>
  <w:style w:type="character" w:customStyle="1" w:styleId="Fontepargpadro5">
    <w:name w:val="Fonte parág. padrão5"/>
    <w:rsid w:val="005B64AD"/>
  </w:style>
  <w:style w:type="paragraph" w:customStyle="1" w:styleId="MariaThereza">
    <w:name w:val="Maria Thereza"/>
    <w:basedOn w:val="Normal"/>
    <w:qFormat/>
    <w:rsid w:val="00970854"/>
    <w:pPr>
      <w:overflowPunct/>
      <w:autoSpaceDE/>
      <w:autoSpaceDN/>
      <w:adjustRightInd/>
      <w:spacing w:line="360" w:lineRule="exact"/>
      <w:jc w:val="left"/>
      <w:textAlignment w:val="auto"/>
    </w:pPr>
    <w:rPr>
      <w:rFonts w:ascii="Times New Roman" w:hAnsi="Times New Roman"/>
      <w:color w:val="00000A"/>
      <w:kern w:val="0"/>
      <w:sz w:val="28"/>
      <w:szCs w:val="24"/>
    </w:rPr>
  </w:style>
  <w:style w:type="paragraph" w:styleId="Textodebalo">
    <w:name w:val="Balloon Text"/>
    <w:basedOn w:val="Normal"/>
    <w:link w:val="TextodebaloChar"/>
    <w:uiPriority w:val="99"/>
    <w:semiHidden/>
    <w:unhideWhenUsed/>
    <w:rsid w:val="00FA747D"/>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FA747D"/>
    <w:rPr>
      <w:rFonts w:ascii="Segoe UI" w:eastAsia="Times New Roman" w:hAnsi="Segoe UI" w:cs="Segoe UI"/>
      <w:kern w:val="18"/>
      <w:sz w:val="18"/>
      <w:szCs w:val="18"/>
    </w:rPr>
  </w:style>
  <w:style w:type="table" w:styleId="Tabelacomgrade">
    <w:name w:val="Table Grid"/>
    <w:basedOn w:val="Tabelanormal"/>
    <w:uiPriority w:val="59"/>
    <w:rsid w:val="00464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452FED"/>
    <w:rPr>
      <w:rFonts w:ascii="Times New Roman" w:eastAsia="Times New Roman" w:hAnsi="Times New Roman"/>
      <w:b/>
      <w:bCs/>
      <w:sz w:val="36"/>
      <w:szCs w:val="36"/>
    </w:rPr>
  </w:style>
  <w:style w:type="character" w:customStyle="1" w:styleId="Ttulo3Char">
    <w:name w:val="Título 3 Char"/>
    <w:link w:val="Ttulo3"/>
    <w:uiPriority w:val="9"/>
    <w:rsid w:val="00452FED"/>
    <w:rPr>
      <w:rFonts w:ascii="Times New Roman" w:eastAsia="Times New Roman" w:hAnsi="Times New Roman"/>
      <w:b/>
      <w:bCs/>
      <w:sz w:val="27"/>
      <w:szCs w:val="27"/>
    </w:rPr>
  </w:style>
  <w:style w:type="character" w:styleId="Meno">
    <w:name w:val="Mention"/>
    <w:uiPriority w:val="99"/>
    <w:semiHidden/>
    <w:unhideWhenUsed/>
    <w:rsid w:val="0082589E"/>
    <w:rPr>
      <w:color w:val="2B579A"/>
      <w:shd w:val="clear" w:color="auto" w:fill="E6E6E6"/>
    </w:rPr>
  </w:style>
  <w:style w:type="character" w:customStyle="1" w:styleId="MenoPendente1">
    <w:name w:val="Menção Pendente1"/>
    <w:uiPriority w:val="99"/>
    <w:semiHidden/>
    <w:unhideWhenUsed/>
    <w:rsid w:val="00F806B7"/>
    <w:rPr>
      <w:color w:val="808080"/>
      <w:shd w:val="clear" w:color="auto" w:fill="E6E6E6"/>
    </w:rPr>
  </w:style>
  <w:style w:type="paragraph" w:customStyle="1" w:styleId="Default">
    <w:name w:val="Default"/>
    <w:rsid w:val="000A13B6"/>
    <w:pPr>
      <w:autoSpaceDE w:val="0"/>
      <w:autoSpaceDN w:val="0"/>
      <w:adjustRightInd w:val="0"/>
    </w:pPr>
    <w:rPr>
      <w:rFonts w:ascii="Book Antiqua" w:eastAsia="Times New Roman" w:hAnsi="Book Antiqua" w:cs="Book Antiqua"/>
      <w:color w:val="000000"/>
      <w:sz w:val="24"/>
      <w:szCs w:val="24"/>
      <w:lang w:eastAsia="pt-BR"/>
    </w:rPr>
  </w:style>
  <w:style w:type="character" w:customStyle="1" w:styleId="apple-converted-space">
    <w:name w:val="apple-converted-space"/>
    <w:rsid w:val="000A13B6"/>
  </w:style>
  <w:style w:type="character" w:customStyle="1" w:styleId="normaltextrun">
    <w:name w:val="normaltextrun"/>
    <w:basedOn w:val="Fontepargpadro"/>
    <w:rsid w:val="00232BAC"/>
  </w:style>
  <w:style w:type="paragraph" w:customStyle="1" w:styleId="artigo">
    <w:name w:val="artigo"/>
    <w:basedOn w:val="Normal"/>
    <w:rsid w:val="00232BAC"/>
    <w:pPr>
      <w:suppressAutoHyphens w:val="0"/>
      <w:overflowPunct/>
      <w:autoSpaceDE/>
      <w:autoSpaceDN/>
      <w:adjustRightInd/>
      <w:spacing w:before="100" w:beforeAutospacing="1" w:after="100" w:afterAutospacing="1" w:line="240" w:lineRule="auto"/>
      <w:jc w:val="left"/>
      <w:textAlignment w:val="auto"/>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6759">
      <w:bodyDiv w:val="1"/>
      <w:marLeft w:val="0"/>
      <w:marRight w:val="0"/>
      <w:marTop w:val="0"/>
      <w:marBottom w:val="0"/>
      <w:divBdr>
        <w:top w:val="none" w:sz="0" w:space="0" w:color="auto"/>
        <w:left w:val="none" w:sz="0" w:space="0" w:color="auto"/>
        <w:bottom w:val="none" w:sz="0" w:space="0" w:color="auto"/>
        <w:right w:val="none" w:sz="0" w:space="0" w:color="auto"/>
      </w:divBdr>
    </w:div>
    <w:div w:id="706176319">
      <w:bodyDiv w:val="1"/>
      <w:marLeft w:val="0"/>
      <w:marRight w:val="0"/>
      <w:marTop w:val="0"/>
      <w:marBottom w:val="0"/>
      <w:divBdr>
        <w:top w:val="none" w:sz="0" w:space="0" w:color="auto"/>
        <w:left w:val="none" w:sz="0" w:space="0" w:color="auto"/>
        <w:bottom w:val="none" w:sz="0" w:space="0" w:color="auto"/>
        <w:right w:val="none" w:sz="0" w:space="0" w:color="auto"/>
      </w:divBdr>
    </w:div>
    <w:div w:id="796945636">
      <w:bodyDiv w:val="1"/>
      <w:marLeft w:val="0"/>
      <w:marRight w:val="0"/>
      <w:marTop w:val="0"/>
      <w:marBottom w:val="0"/>
      <w:divBdr>
        <w:top w:val="none" w:sz="0" w:space="0" w:color="auto"/>
        <w:left w:val="none" w:sz="0" w:space="0" w:color="auto"/>
        <w:bottom w:val="none" w:sz="0" w:space="0" w:color="auto"/>
        <w:right w:val="none" w:sz="0" w:space="0" w:color="auto"/>
      </w:divBdr>
    </w:div>
    <w:div w:id="835918390">
      <w:bodyDiv w:val="1"/>
      <w:marLeft w:val="0"/>
      <w:marRight w:val="0"/>
      <w:marTop w:val="0"/>
      <w:marBottom w:val="0"/>
      <w:divBdr>
        <w:top w:val="none" w:sz="0" w:space="0" w:color="auto"/>
        <w:left w:val="none" w:sz="0" w:space="0" w:color="auto"/>
        <w:bottom w:val="none" w:sz="0" w:space="0" w:color="auto"/>
        <w:right w:val="none" w:sz="0" w:space="0" w:color="auto"/>
      </w:divBdr>
    </w:div>
    <w:div w:id="854926399">
      <w:bodyDiv w:val="1"/>
      <w:marLeft w:val="0"/>
      <w:marRight w:val="0"/>
      <w:marTop w:val="0"/>
      <w:marBottom w:val="0"/>
      <w:divBdr>
        <w:top w:val="none" w:sz="0" w:space="0" w:color="auto"/>
        <w:left w:val="none" w:sz="0" w:space="0" w:color="auto"/>
        <w:bottom w:val="none" w:sz="0" w:space="0" w:color="auto"/>
        <w:right w:val="none" w:sz="0" w:space="0" w:color="auto"/>
      </w:divBdr>
    </w:div>
    <w:div w:id="1212574486">
      <w:bodyDiv w:val="1"/>
      <w:marLeft w:val="0"/>
      <w:marRight w:val="0"/>
      <w:marTop w:val="0"/>
      <w:marBottom w:val="0"/>
      <w:divBdr>
        <w:top w:val="none" w:sz="0" w:space="0" w:color="auto"/>
        <w:left w:val="none" w:sz="0" w:space="0" w:color="auto"/>
        <w:bottom w:val="none" w:sz="0" w:space="0" w:color="auto"/>
        <w:right w:val="none" w:sz="0" w:space="0" w:color="auto"/>
      </w:divBdr>
    </w:div>
    <w:div w:id="1392727851">
      <w:bodyDiv w:val="1"/>
      <w:marLeft w:val="0"/>
      <w:marRight w:val="0"/>
      <w:marTop w:val="0"/>
      <w:marBottom w:val="0"/>
      <w:divBdr>
        <w:top w:val="none" w:sz="0" w:space="0" w:color="auto"/>
        <w:left w:val="none" w:sz="0" w:space="0" w:color="auto"/>
        <w:bottom w:val="none" w:sz="0" w:space="0" w:color="auto"/>
        <w:right w:val="none" w:sz="0" w:space="0" w:color="auto"/>
      </w:divBdr>
    </w:div>
    <w:div w:id="1489831675">
      <w:bodyDiv w:val="1"/>
      <w:marLeft w:val="0"/>
      <w:marRight w:val="0"/>
      <w:marTop w:val="0"/>
      <w:marBottom w:val="0"/>
      <w:divBdr>
        <w:top w:val="none" w:sz="0" w:space="0" w:color="auto"/>
        <w:left w:val="none" w:sz="0" w:space="0" w:color="auto"/>
        <w:bottom w:val="none" w:sz="0" w:space="0" w:color="auto"/>
        <w:right w:val="none" w:sz="0" w:space="0" w:color="auto"/>
      </w:divBdr>
    </w:div>
    <w:div w:id="1504510957">
      <w:bodyDiv w:val="1"/>
      <w:marLeft w:val="0"/>
      <w:marRight w:val="0"/>
      <w:marTop w:val="0"/>
      <w:marBottom w:val="0"/>
      <w:divBdr>
        <w:top w:val="none" w:sz="0" w:space="0" w:color="auto"/>
        <w:left w:val="none" w:sz="0" w:space="0" w:color="auto"/>
        <w:bottom w:val="none" w:sz="0" w:space="0" w:color="auto"/>
        <w:right w:val="none" w:sz="0" w:space="0" w:color="auto"/>
      </w:divBdr>
    </w:div>
    <w:div w:id="1661538543">
      <w:bodyDiv w:val="1"/>
      <w:marLeft w:val="0"/>
      <w:marRight w:val="0"/>
      <w:marTop w:val="0"/>
      <w:marBottom w:val="0"/>
      <w:divBdr>
        <w:top w:val="none" w:sz="0" w:space="0" w:color="auto"/>
        <w:left w:val="none" w:sz="0" w:space="0" w:color="auto"/>
        <w:bottom w:val="none" w:sz="0" w:space="0" w:color="auto"/>
        <w:right w:val="none" w:sz="0" w:space="0" w:color="auto"/>
      </w:divBdr>
    </w:div>
    <w:div w:id="213663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D729D-4F21-5B42-9BE5-540D77736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1773</Words>
  <Characters>9577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Excelentíssimo Juiz de Direito do</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Excelentíssimo Juiz de Direito do</dc:title>
  <dc:subject/>
  <dc:creator>MariaTheresa</dc:creator>
  <cp:keywords/>
  <cp:lastModifiedBy>Microsoft Office User</cp:lastModifiedBy>
  <cp:revision>3</cp:revision>
  <cp:lastPrinted>2019-03-18T14:28:00Z</cp:lastPrinted>
  <dcterms:created xsi:type="dcterms:W3CDTF">2019-06-10T22:58:00Z</dcterms:created>
  <dcterms:modified xsi:type="dcterms:W3CDTF">2019-06-10T22:59:00Z</dcterms:modified>
</cp:coreProperties>
</file>