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0010" w14:textId="77777777" w:rsidR="00745486" w:rsidRPr="0034466D" w:rsidRDefault="00745486" w:rsidP="0034466D">
      <w:pPr>
        <w:pStyle w:val="Default"/>
        <w:spacing w:line="360" w:lineRule="auto"/>
        <w:rPr>
          <w:rFonts w:ascii="Garamond" w:hAnsi="Garamond" w:cs="Arial"/>
          <w:b/>
        </w:rPr>
      </w:pPr>
    </w:p>
    <w:p w14:paraId="10F83CA7" w14:textId="32A294C4" w:rsidR="0034466D" w:rsidRPr="0034466D" w:rsidRDefault="0034466D" w:rsidP="00FC5236">
      <w:pPr>
        <w:spacing w:line="360" w:lineRule="auto"/>
        <w:rPr>
          <w:rFonts w:ascii="Garamond" w:hAnsi="Garamond"/>
          <w:b/>
          <w:sz w:val="24"/>
          <w:szCs w:val="24"/>
        </w:rPr>
      </w:pPr>
      <w:r w:rsidRPr="0034466D">
        <w:rPr>
          <w:rFonts w:ascii="Garamond" w:hAnsi="Garamond"/>
          <w:b/>
          <w:sz w:val="24"/>
          <w:szCs w:val="24"/>
        </w:rPr>
        <w:t xml:space="preserve">EXCELENTÍSSIMO JUÍZO DA </w:t>
      </w:r>
      <w:r w:rsidR="002C32D2">
        <w:rPr>
          <w:rFonts w:ascii="Garamond" w:hAnsi="Garamond"/>
          <w:b/>
          <w:sz w:val="24"/>
          <w:szCs w:val="24"/>
        </w:rPr>
        <w:t xml:space="preserve">____ª </w:t>
      </w:r>
      <w:r w:rsidRPr="0034466D">
        <w:rPr>
          <w:rFonts w:ascii="Garamond" w:hAnsi="Garamond"/>
          <w:b/>
          <w:sz w:val="24"/>
          <w:szCs w:val="24"/>
        </w:rPr>
        <w:t xml:space="preserve">VARA DE SUCESSÕES DA COMARCA DE </w:t>
      </w:r>
      <w:r w:rsidR="00FC5236">
        <w:rPr>
          <w:rFonts w:ascii="Garamond" w:hAnsi="Garamond"/>
          <w:b/>
          <w:sz w:val="24"/>
          <w:szCs w:val="24"/>
        </w:rPr>
        <w:t>CIDADE - ESTADO</w:t>
      </w:r>
    </w:p>
    <w:p w14:paraId="1E3B8D30" w14:textId="77777777" w:rsidR="0034466D" w:rsidRPr="0034466D" w:rsidRDefault="0034466D" w:rsidP="0034466D">
      <w:pPr>
        <w:spacing w:line="360" w:lineRule="auto"/>
        <w:rPr>
          <w:rFonts w:ascii="Garamond" w:hAnsi="Garamond"/>
          <w:sz w:val="24"/>
          <w:szCs w:val="24"/>
        </w:rPr>
      </w:pPr>
    </w:p>
    <w:p w14:paraId="6DA43EF4" w14:textId="77777777" w:rsidR="0034466D" w:rsidRPr="0034466D" w:rsidRDefault="0034466D" w:rsidP="0034466D">
      <w:pPr>
        <w:spacing w:line="360" w:lineRule="auto"/>
        <w:rPr>
          <w:rFonts w:ascii="Garamond" w:hAnsi="Garamond"/>
          <w:sz w:val="24"/>
          <w:szCs w:val="24"/>
        </w:rPr>
      </w:pPr>
    </w:p>
    <w:p w14:paraId="511012A5" w14:textId="77777777" w:rsidR="0034466D" w:rsidRPr="0034466D" w:rsidRDefault="0034466D" w:rsidP="0034466D">
      <w:pPr>
        <w:spacing w:line="360" w:lineRule="auto"/>
        <w:rPr>
          <w:rFonts w:ascii="Garamond" w:hAnsi="Garamond"/>
          <w:sz w:val="24"/>
          <w:szCs w:val="24"/>
        </w:rPr>
      </w:pPr>
    </w:p>
    <w:p w14:paraId="70A83575" w14:textId="42202E6F" w:rsidR="0034466D" w:rsidRPr="0034466D" w:rsidRDefault="0034466D" w:rsidP="0034466D">
      <w:pPr>
        <w:spacing w:line="360" w:lineRule="auto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 xml:space="preserve">Processo nº </w:t>
      </w:r>
    </w:p>
    <w:p w14:paraId="0017AA77" w14:textId="77777777" w:rsidR="0034466D" w:rsidRPr="0034466D" w:rsidRDefault="0034466D" w:rsidP="0034466D">
      <w:pPr>
        <w:spacing w:line="360" w:lineRule="auto"/>
        <w:rPr>
          <w:rFonts w:ascii="Garamond" w:hAnsi="Garamond"/>
          <w:sz w:val="24"/>
          <w:szCs w:val="24"/>
        </w:rPr>
      </w:pPr>
    </w:p>
    <w:p w14:paraId="26F34C82" w14:textId="77777777" w:rsidR="0034466D" w:rsidRPr="0034466D" w:rsidRDefault="0034466D" w:rsidP="0034466D">
      <w:pPr>
        <w:spacing w:line="360" w:lineRule="auto"/>
        <w:rPr>
          <w:rFonts w:ascii="Garamond" w:hAnsi="Garamond"/>
          <w:sz w:val="24"/>
          <w:szCs w:val="24"/>
        </w:rPr>
      </w:pPr>
    </w:p>
    <w:p w14:paraId="5ECAD052" w14:textId="5D374CE2" w:rsidR="0034466D" w:rsidRPr="0034466D" w:rsidRDefault="002C32D2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</w:t>
      </w:r>
      <w:bookmarkStart w:id="0" w:name="_GoBack"/>
      <w:bookmarkEnd w:id="0"/>
      <w:r w:rsidR="0034466D" w:rsidRPr="0034466D">
        <w:rPr>
          <w:rFonts w:ascii="Garamond" w:hAnsi="Garamond"/>
          <w:b/>
          <w:sz w:val="24"/>
          <w:szCs w:val="24"/>
        </w:rPr>
        <w:t xml:space="preserve">, </w:t>
      </w:r>
      <w:r w:rsidR="0034466D" w:rsidRPr="0034466D">
        <w:rPr>
          <w:rFonts w:ascii="Garamond" w:hAnsi="Garamond"/>
          <w:sz w:val="24"/>
          <w:szCs w:val="24"/>
        </w:rPr>
        <w:t xml:space="preserve">devidamente qualificado nos autos, vem </w:t>
      </w:r>
      <w:r w:rsidR="0034466D" w:rsidRPr="0034466D">
        <w:rPr>
          <w:rFonts w:ascii="Garamond" w:hAnsi="Garamond"/>
          <w:color w:val="000000"/>
          <w:sz w:val="24"/>
          <w:szCs w:val="24"/>
        </w:rPr>
        <w:t xml:space="preserve">respeitosamente à presença de Vossa Excelência, </w:t>
      </w:r>
      <w:r w:rsidR="0034466D" w:rsidRPr="0034466D">
        <w:rPr>
          <w:rFonts w:ascii="Garamond" w:hAnsi="Garamond"/>
          <w:sz w:val="24"/>
          <w:szCs w:val="24"/>
        </w:rPr>
        <w:t xml:space="preserve">mediante seus procuradores, </w:t>
      </w:r>
      <w:r w:rsidR="0034466D" w:rsidRPr="0034466D">
        <w:rPr>
          <w:rFonts w:ascii="Garamond" w:hAnsi="Garamond"/>
          <w:color w:val="000000"/>
          <w:sz w:val="24"/>
          <w:szCs w:val="24"/>
        </w:rPr>
        <w:t xml:space="preserve">requerer a </w:t>
      </w:r>
      <w:r w:rsidR="0034466D" w:rsidRPr="0034466D">
        <w:rPr>
          <w:rFonts w:ascii="Garamond" w:hAnsi="Garamond"/>
          <w:b/>
          <w:color w:val="000000"/>
          <w:sz w:val="24"/>
          <w:szCs w:val="24"/>
        </w:rPr>
        <w:t>ALTERAÇÃO DE INVENTARIANTE</w:t>
      </w:r>
      <w:r w:rsidR="0034466D" w:rsidRPr="0034466D">
        <w:rPr>
          <w:rFonts w:ascii="Garamond" w:hAnsi="Garamond"/>
          <w:color w:val="000000"/>
          <w:sz w:val="24"/>
          <w:szCs w:val="24"/>
        </w:rPr>
        <w:t xml:space="preserve"> nos autos em epígrafe, pelos motivos de fato e de direito a seguir aduzidos.</w:t>
      </w:r>
      <w:r w:rsidR="0034466D" w:rsidRPr="0034466D">
        <w:rPr>
          <w:rFonts w:ascii="Garamond" w:hAnsi="Garamond"/>
          <w:color w:val="000000"/>
          <w:sz w:val="24"/>
          <w:szCs w:val="24"/>
        </w:rPr>
        <w:br/>
      </w:r>
    </w:p>
    <w:p w14:paraId="25A6D100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rPr>
          <w:rFonts w:ascii="Garamond" w:hAnsi="Garamond"/>
          <w:color w:val="000000"/>
          <w:sz w:val="24"/>
          <w:szCs w:val="24"/>
        </w:rPr>
      </w:pPr>
    </w:p>
    <w:p w14:paraId="0BACC678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>O cargo de inventariante é um serviço público prestado, devendo submeter-se à fiscalização do juiz, posto que o inventariante desempenha função de auxiliar do mesmo, de modo que mantenham uma relação de confiança.</w:t>
      </w:r>
    </w:p>
    <w:p w14:paraId="7E46986C" w14:textId="77777777" w:rsidR="0034466D" w:rsidRPr="0034466D" w:rsidRDefault="0034466D" w:rsidP="0034466D">
      <w:pPr>
        <w:pStyle w:val="NormalWeb"/>
        <w:shd w:val="clear" w:color="auto" w:fill="FFFFFF"/>
        <w:spacing w:before="0" w:after="0" w:line="360" w:lineRule="auto"/>
        <w:ind w:firstLine="70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 xml:space="preserve">A </w:t>
      </w:r>
      <w:r w:rsidRPr="0034466D">
        <w:rPr>
          <w:rFonts w:ascii="Garamond" w:hAnsi="Garamond"/>
          <w:b/>
          <w:color w:val="000000" w:themeColor="text1"/>
          <w:spacing w:val="2"/>
        </w:rPr>
        <w:t>nomeação de inventariante deve seguir a ordem estabelecida no art. </w:t>
      </w:r>
      <w:hyperlink r:id="rId8" w:tooltip="Artigo 617 da Lei nº 5.869 de 11 de Janeiro de 1973" w:history="1">
        <w:r w:rsidRPr="0034466D">
          <w:rPr>
            <w:rStyle w:val="Hyperlink"/>
            <w:rFonts w:ascii="Garamond" w:hAnsi="Garamond"/>
            <w:b/>
            <w:color w:val="000000" w:themeColor="text1"/>
            <w:spacing w:val="2"/>
          </w:rPr>
          <w:t>617</w:t>
        </w:r>
      </w:hyperlink>
      <w:r w:rsidRPr="0034466D">
        <w:rPr>
          <w:rFonts w:ascii="Garamond" w:hAnsi="Garamond"/>
          <w:b/>
          <w:color w:val="000000" w:themeColor="text1"/>
          <w:spacing w:val="2"/>
        </w:rPr>
        <w:t>, do </w:t>
      </w:r>
      <w:hyperlink r:id="rId9" w:tooltip="Lei no 5.869, de 11 de janeiro de 1973." w:history="1">
        <w:r w:rsidRPr="0034466D">
          <w:rPr>
            <w:rStyle w:val="Hyperlink"/>
            <w:rFonts w:ascii="Garamond" w:hAnsi="Garamond"/>
            <w:b/>
            <w:color w:val="000000" w:themeColor="text1"/>
            <w:spacing w:val="2"/>
          </w:rPr>
          <w:t>CPC</w:t>
        </w:r>
      </w:hyperlink>
      <w:r w:rsidRPr="0034466D">
        <w:rPr>
          <w:rFonts w:ascii="Garamond" w:hAnsi="Garamond"/>
          <w:spacing w:val="2"/>
        </w:rPr>
        <w:t>. De forma prática, o nomeado assumirá as obrigações decorrentes dos bens do espólio, representá-lo-á ativa e passivamente, se responsabilizará pela guarda e conservação dos bens e diligenciará para atender determinações processuais, como pagamento de taxas, impostos e despesas processuais. Vejamos o artigo </w:t>
      </w:r>
      <w:hyperlink r:id="rId10" w:tooltip="Artigo 617 da Lei nº 5.869 de 11 de Janeiro de 1973" w:history="1">
        <w:r w:rsidRPr="0034466D">
          <w:rPr>
            <w:rStyle w:val="Hyperlink"/>
            <w:rFonts w:ascii="Garamond" w:hAnsi="Garamond"/>
            <w:color w:val="000000" w:themeColor="text1"/>
            <w:spacing w:val="2"/>
          </w:rPr>
          <w:t>617</w:t>
        </w:r>
      </w:hyperlink>
      <w:r w:rsidRPr="0034466D">
        <w:rPr>
          <w:rFonts w:ascii="Garamond" w:hAnsi="Garamond"/>
          <w:color w:val="000000" w:themeColor="text1"/>
          <w:spacing w:val="2"/>
        </w:rPr>
        <w:t> do </w:t>
      </w:r>
      <w:hyperlink r:id="rId11" w:tooltip="Lei no 5.869, de 11 de janeiro de 1973." w:history="1">
        <w:r w:rsidRPr="0034466D">
          <w:rPr>
            <w:rStyle w:val="Hyperlink"/>
            <w:rFonts w:ascii="Garamond" w:hAnsi="Garamond"/>
            <w:color w:val="000000" w:themeColor="text1"/>
            <w:spacing w:val="2"/>
          </w:rPr>
          <w:t>CPC</w:t>
        </w:r>
      </w:hyperlink>
      <w:r w:rsidRPr="0034466D">
        <w:rPr>
          <w:rFonts w:ascii="Garamond" w:hAnsi="Garamond"/>
          <w:spacing w:val="2"/>
        </w:rPr>
        <w:t>:</w:t>
      </w:r>
    </w:p>
    <w:p w14:paraId="7552553A" w14:textId="77777777" w:rsidR="0034466D" w:rsidRPr="0034466D" w:rsidRDefault="0034466D" w:rsidP="0034466D">
      <w:pPr>
        <w:pStyle w:val="NormalWeb"/>
        <w:shd w:val="clear" w:color="auto" w:fill="FFFFFF"/>
        <w:spacing w:before="0" w:after="0" w:line="360" w:lineRule="auto"/>
        <w:ind w:firstLine="708"/>
        <w:jc w:val="both"/>
        <w:rPr>
          <w:rFonts w:ascii="Garamond" w:hAnsi="Garamond"/>
          <w:spacing w:val="2"/>
        </w:rPr>
      </w:pPr>
    </w:p>
    <w:p w14:paraId="729C84C8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>Art. 617. O juiz nomeará inventariante na seguinte ordem:</w:t>
      </w:r>
    </w:p>
    <w:p w14:paraId="799EF074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 xml:space="preserve">I - </w:t>
      </w:r>
      <w:proofErr w:type="gramStart"/>
      <w:r w:rsidRPr="0034466D">
        <w:rPr>
          <w:rFonts w:ascii="Garamond" w:hAnsi="Garamond"/>
          <w:sz w:val="24"/>
          <w:szCs w:val="24"/>
        </w:rPr>
        <w:t>o</w:t>
      </w:r>
      <w:proofErr w:type="gramEnd"/>
      <w:r w:rsidRPr="0034466D">
        <w:rPr>
          <w:rFonts w:ascii="Garamond" w:hAnsi="Garamond"/>
          <w:sz w:val="24"/>
          <w:szCs w:val="24"/>
        </w:rPr>
        <w:t xml:space="preserve"> cônjuge ou companheiro sobrevivente, desde que estivesse convivendo com o outro ao tempo da morte deste;</w:t>
      </w:r>
    </w:p>
    <w:p w14:paraId="617B7F76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 xml:space="preserve">II - </w:t>
      </w:r>
      <w:proofErr w:type="gramStart"/>
      <w:r w:rsidRPr="0034466D">
        <w:rPr>
          <w:rFonts w:ascii="Garamond" w:hAnsi="Garamond"/>
          <w:sz w:val="24"/>
          <w:szCs w:val="24"/>
        </w:rPr>
        <w:t>o</w:t>
      </w:r>
      <w:proofErr w:type="gramEnd"/>
      <w:r w:rsidRPr="0034466D">
        <w:rPr>
          <w:rFonts w:ascii="Garamond" w:hAnsi="Garamond"/>
          <w:sz w:val="24"/>
          <w:szCs w:val="24"/>
        </w:rPr>
        <w:t xml:space="preserve"> herdeiro que se achar na posse e na administração do espólio, se não houver cônjuge ou companheiro sobrevivente ou se estes não puderem ser nomeados;</w:t>
      </w:r>
    </w:p>
    <w:p w14:paraId="59D5AC4E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lastRenderedPageBreak/>
        <w:t>III - qualquer herdeiro, quando nenhum deles estiver na posse e na administração do espólio;</w:t>
      </w:r>
    </w:p>
    <w:p w14:paraId="75400F63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 xml:space="preserve">IV - </w:t>
      </w:r>
      <w:proofErr w:type="gramStart"/>
      <w:r w:rsidRPr="0034466D">
        <w:rPr>
          <w:rFonts w:ascii="Garamond" w:hAnsi="Garamond"/>
          <w:sz w:val="24"/>
          <w:szCs w:val="24"/>
        </w:rPr>
        <w:t>o</w:t>
      </w:r>
      <w:proofErr w:type="gramEnd"/>
      <w:r w:rsidRPr="0034466D">
        <w:rPr>
          <w:rFonts w:ascii="Garamond" w:hAnsi="Garamond"/>
          <w:sz w:val="24"/>
          <w:szCs w:val="24"/>
        </w:rPr>
        <w:t xml:space="preserve"> herdeiro menor, por seu representante legal;</w:t>
      </w:r>
    </w:p>
    <w:p w14:paraId="359B4E1D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 xml:space="preserve">V - </w:t>
      </w:r>
      <w:proofErr w:type="gramStart"/>
      <w:r w:rsidRPr="0034466D">
        <w:rPr>
          <w:rFonts w:ascii="Garamond" w:hAnsi="Garamond"/>
          <w:sz w:val="24"/>
          <w:szCs w:val="24"/>
        </w:rPr>
        <w:t>o</w:t>
      </w:r>
      <w:proofErr w:type="gramEnd"/>
      <w:r w:rsidRPr="0034466D">
        <w:rPr>
          <w:rFonts w:ascii="Garamond" w:hAnsi="Garamond"/>
          <w:sz w:val="24"/>
          <w:szCs w:val="24"/>
        </w:rPr>
        <w:t xml:space="preserve"> testamenteiro, se lhe tiver sido confiada a administração do espólio ou se toda a herança estiver distribuída em legados;</w:t>
      </w:r>
    </w:p>
    <w:p w14:paraId="22107FD6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 xml:space="preserve">VI - </w:t>
      </w:r>
      <w:proofErr w:type="gramStart"/>
      <w:r w:rsidRPr="0034466D">
        <w:rPr>
          <w:rFonts w:ascii="Garamond" w:hAnsi="Garamond"/>
          <w:sz w:val="24"/>
          <w:szCs w:val="24"/>
        </w:rPr>
        <w:t>o</w:t>
      </w:r>
      <w:proofErr w:type="gramEnd"/>
      <w:r w:rsidRPr="0034466D">
        <w:rPr>
          <w:rFonts w:ascii="Garamond" w:hAnsi="Garamond"/>
          <w:sz w:val="24"/>
          <w:szCs w:val="24"/>
        </w:rPr>
        <w:t xml:space="preserve"> cessionário do herdeiro ou do legatário;</w:t>
      </w:r>
    </w:p>
    <w:p w14:paraId="6E04EB4A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>VII - o inventariante judicial, se houver;</w:t>
      </w:r>
    </w:p>
    <w:p w14:paraId="4DC358B6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>VIII - pessoa estranha idônea, quando não houver inventariante judicial.</w:t>
      </w:r>
    </w:p>
    <w:p w14:paraId="5A2F2E6F" w14:textId="77777777" w:rsidR="0034466D" w:rsidRPr="0034466D" w:rsidRDefault="0034466D" w:rsidP="0034466D">
      <w:pPr>
        <w:spacing w:line="360" w:lineRule="auto"/>
        <w:ind w:left="226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sz w:val="24"/>
          <w:szCs w:val="24"/>
        </w:rPr>
        <w:t>Parágrafo único. O inventariante, intimado da nomeação, prestará, dentro de 5 (cinco) dias, o compromisso de bem e fielmente desempenhar a função.</w:t>
      </w:r>
    </w:p>
    <w:p w14:paraId="5F153CE0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rPr>
          <w:rFonts w:ascii="Garamond" w:hAnsi="Garamond"/>
          <w:color w:val="000000"/>
          <w:sz w:val="24"/>
          <w:szCs w:val="24"/>
        </w:rPr>
      </w:pPr>
    </w:p>
    <w:p w14:paraId="4CCD5470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Assim, conforme ensina Washington de Barros Monteiro, </w:t>
      </w:r>
      <w:r w:rsidRPr="0034466D">
        <w:rPr>
          <w:rFonts w:ascii="Garamond" w:hAnsi="Garamond"/>
          <w:spacing w:val="2"/>
          <w:sz w:val="24"/>
          <w:szCs w:val="24"/>
          <w:u w:val="single"/>
          <w:shd w:val="clear" w:color="auto" w:fill="FFFFFF"/>
        </w:rPr>
        <w:t>a posse corporal dos bens e a idoneidade moral do herdeiro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 são os títulos mais importantes, de modo que, em </w:t>
      </w:r>
      <w:r w:rsidRPr="0034466D">
        <w:rPr>
          <w:rFonts w:ascii="Garamond" w:hAnsi="Garamond"/>
          <w:b/>
          <w:spacing w:val="2"/>
          <w:sz w:val="24"/>
          <w:szCs w:val="24"/>
          <w:shd w:val="clear" w:color="auto" w:fill="FFFFFF"/>
        </w:rPr>
        <w:t>não havendo cônjuge ou companheiro sobrevivente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>, a nomeação recairá, dentre os filhos </w:t>
      </w:r>
      <w:r w:rsidRPr="0034466D">
        <w:rPr>
          <w:rFonts w:ascii="Garamond" w:hAnsi="Garamond"/>
          <w:iCs/>
          <w:spacing w:val="2"/>
          <w:sz w:val="24"/>
          <w:szCs w:val="24"/>
          <w:shd w:val="clear" w:color="auto" w:fill="FFFFFF"/>
        </w:rPr>
        <w:t xml:space="preserve">de </w:t>
      </w:r>
      <w:r w:rsidRPr="0034466D">
        <w:rPr>
          <w:rFonts w:ascii="Garamond" w:hAnsi="Garamond"/>
          <w:i/>
          <w:iCs/>
          <w:spacing w:val="2"/>
          <w:sz w:val="24"/>
          <w:szCs w:val="24"/>
          <w:shd w:val="clear" w:color="auto" w:fill="FFFFFF"/>
        </w:rPr>
        <w:t>cujus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, </w:t>
      </w:r>
      <w:r w:rsidRPr="0034466D">
        <w:rPr>
          <w:rFonts w:ascii="Garamond" w:hAnsi="Garamond"/>
          <w:spacing w:val="2"/>
          <w:sz w:val="24"/>
          <w:szCs w:val="24"/>
          <w:u w:val="single"/>
          <w:shd w:val="clear" w:color="auto" w:fill="FFFFFF"/>
        </w:rPr>
        <w:t xml:space="preserve">no mais idoso, no mais idôneo, no que convivia com o inventariado na mesma casa, no que melhor conhecia os negócios do extinto, ou no </w:t>
      </w:r>
      <w:r w:rsidRPr="0034466D">
        <w:rPr>
          <w:rFonts w:ascii="Garamond" w:hAnsi="Garamond"/>
          <w:b/>
          <w:spacing w:val="2"/>
          <w:sz w:val="24"/>
          <w:szCs w:val="24"/>
          <w:u w:val="single"/>
          <w:shd w:val="clear" w:color="auto" w:fill="FFFFFF"/>
        </w:rPr>
        <w:t>indicado pela maioria dos interessados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>.</w:t>
      </w:r>
    </w:p>
    <w:p w14:paraId="7C2D1836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spacing w:val="2"/>
          <w:sz w:val="24"/>
          <w:szCs w:val="24"/>
          <w:shd w:val="clear" w:color="auto" w:fill="FFFFFF"/>
        </w:rPr>
      </w:pP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No presente caso </w:t>
      </w:r>
      <w:r w:rsidRPr="0034466D">
        <w:rPr>
          <w:rFonts w:ascii="Garamond" w:hAnsi="Garamond"/>
          <w:b/>
          <w:spacing w:val="2"/>
          <w:sz w:val="24"/>
          <w:szCs w:val="24"/>
          <w:shd w:val="clear" w:color="auto" w:fill="FFFFFF"/>
        </w:rPr>
        <w:t>o inventariante não conviveu com o falecido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, </w:t>
      </w:r>
      <w:r w:rsidRPr="0034466D">
        <w:rPr>
          <w:rFonts w:ascii="Garamond" w:hAnsi="Garamond"/>
          <w:spacing w:val="2"/>
          <w:sz w:val="24"/>
          <w:szCs w:val="24"/>
          <w:u w:val="single"/>
          <w:shd w:val="clear" w:color="auto" w:fill="FFFFFF"/>
        </w:rPr>
        <w:t>foi reconhecido apenas três anos antes de seu falecimento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 xml:space="preserve">, não conhecia nada da vida pessoal, financeira ou profissional do finado, ou seja, </w:t>
      </w:r>
      <w:r w:rsidRPr="0034466D">
        <w:rPr>
          <w:rFonts w:ascii="Garamond" w:hAnsi="Garamond"/>
          <w:spacing w:val="2"/>
          <w:sz w:val="24"/>
          <w:szCs w:val="24"/>
          <w:u w:val="single"/>
          <w:shd w:val="clear" w:color="auto" w:fill="FFFFFF"/>
        </w:rPr>
        <w:t xml:space="preserve">mesmo sendo filho era uma pessoa estranha ao de </w:t>
      </w:r>
      <w:r w:rsidRPr="0034466D">
        <w:rPr>
          <w:rFonts w:ascii="Garamond" w:hAnsi="Garamond"/>
          <w:i/>
          <w:spacing w:val="2"/>
          <w:sz w:val="24"/>
          <w:szCs w:val="24"/>
          <w:u w:val="single"/>
          <w:shd w:val="clear" w:color="auto" w:fill="FFFFFF"/>
        </w:rPr>
        <w:t>cujus</w:t>
      </w:r>
      <w:r w:rsidRPr="0034466D">
        <w:rPr>
          <w:rFonts w:ascii="Garamond" w:hAnsi="Garamond"/>
          <w:spacing w:val="2"/>
          <w:sz w:val="24"/>
          <w:szCs w:val="24"/>
          <w:shd w:val="clear" w:color="auto" w:fill="FFFFFF"/>
        </w:rPr>
        <w:t>.  Como inventariante ainda, foi intimado por duas vezes para pagamento de taxas – evento 14 e evento 03 – 000308 e se manteve inerte.</w:t>
      </w:r>
    </w:p>
    <w:p w14:paraId="6906D36A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spacing w:val="2"/>
          <w:sz w:val="24"/>
          <w:szCs w:val="24"/>
        </w:rPr>
      </w:pPr>
      <w:r w:rsidRPr="0034466D">
        <w:rPr>
          <w:rFonts w:ascii="Garamond" w:hAnsi="Garamond"/>
          <w:spacing w:val="2"/>
          <w:sz w:val="24"/>
          <w:szCs w:val="24"/>
        </w:rPr>
        <w:t>É sabido que o inventariante tem o dever de zelar pelo patrimônio, perceber os frutos e dá-los à partilha, realizar as despesas necessárias à sua manutenção, entre outros, podendo ser responsabilizado por sua inércia ou omissão no desempenho de suas funções.</w:t>
      </w:r>
    </w:p>
    <w:p w14:paraId="45E976D4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firstLine="70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>Ademais, ao inventariante cabe prestar as primeiras e as últimas declarações, dentre elas os bens do espólio.</w:t>
      </w:r>
    </w:p>
    <w:p w14:paraId="28807D62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firstLine="708"/>
        <w:jc w:val="both"/>
        <w:rPr>
          <w:rFonts w:ascii="Garamond" w:hAnsi="Garamond" w:cs="Courier New"/>
          <w:u w:val="single"/>
        </w:rPr>
      </w:pPr>
      <w:r w:rsidRPr="0034466D">
        <w:rPr>
          <w:rFonts w:ascii="Garamond" w:hAnsi="Garamond"/>
          <w:spacing w:val="2"/>
        </w:rPr>
        <w:lastRenderedPageBreak/>
        <w:t xml:space="preserve">Ocorre que, </w:t>
      </w:r>
      <w:r w:rsidRPr="0034466D">
        <w:rPr>
          <w:rFonts w:ascii="Garamond" w:hAnsi="Garamond"/>
          <w:b/>
          <w:spacing w:val="2"/>
        </w:rPr>
        <w:t>o inventariante elencou diversos bens que não são do espólio</w:t>
      </w:r>
      <w:r w:rsidRPr="0034466D">
        <w:rPr>
          <w:rFonts w:ascii="Garamond" w:hAnsi="Garamond"/>
          <w:spacing w:val="2"/>
        </w:rPr>
        <w:t xml:space="preserve"> e a fim de enriquecimento sem causa está </w:t>
      </w:r>
      <w:r w:rsidRPr="0034466D">
        <w:rPr>
          <w:rFonts w:ascii="Garamond" w:hAnsi="Garamond"/>
          <w:b/>
          <w:spacing w:val="2"/>
        </w:rPr>
        <w:t>enviando notificações aos inquilinos de imóveis que são exclusivamente dos herdeiros</w:t>
      </w:r>
      <w:r w:rsidRPr="0034466D">
        <w:rPr>
          <w:rFonts w:ascii="Garamond" w:hAnsi="Garamond"/>
          <w:spacing w:val="2"/>
        </w:rPr>
        <w:t xml:space="preserve"> </w:t>
      </w:r>
      <w:r w:rsidRPr="0034466D">
        <w:rPr>
          <w:rFonts w:ascii="Garamond" w:hAnsi="Garamond" w:cs="Courier New"/>
          <w:u w:val="single"/>
        </w:rPr>
        <w:t>HAMILTON, ALTAMIR e DEUSA</w:t>
      </w:r>
      <w:r w:rsidRPr="0034466D">
        <w:rPr>
          <w:rFonts w:ascii="Garamond" w:hAnsi="Garamond"/>
          <w:spacing w:val="2"/>
        </w:rPr>
        <w:t xml:space="preserve"> </w:t>
      </w:r>
      <w:r w:rsidRPr="0034466D">
        <w:rPr>
          <w:rFonts w:ascii="Garamond" w:hAnsi="Garamond"/>
          <w:b/>
          <w:spacing w:val="2"/>
        </w:rPr>
        <w:t>e não do espólio</w:t>
      </w:r>
      <w:r w:rsidRPr="0034466D">
        <w:rPr>
          <w:rFonts w:ascii="Garamond" w:hAnsi="Garamond"/>
          <w:spacing w:val="2"/>
        </w:rPr>
        <w:t xml:space="preserve">, como por exemplo a Notificação Extrajudicial anexa, relativa ao </w:t>
      </w:r>
      <w:r w:rsidRPr="0034466D">
        <w:rPr>
          <w:rFonts w:ascii="Garamond" w:hAnsi="Garamond"/>
          <w:b/>
        </w:rPr>
        <w:t>LOTE 03</w:t>
      </w:r>
      <w:r w:rsidRPr="0034466D">
        <w:rPr>
          <w:rFonts w:ascii="Garamond" w:hAnsi="Garamond"/>
        </w:rPr>
        <w:t>, quadra 62, A</w:t>
      </w:r>
      <w:r w:rsidRPr="0034466D">
        <w:rPr>
          <w:rFonts w:ascii="Garamond" w:hAnsi="Garamond" w:cs="Bookman Old Style"/>
        </w:rPr>
        <w:t xml:space="preserve">venida Circular, esquina com a rua 1.024, Setor Pedro Ludovico, </w:t>
      </w:r>
      <w:r w:rsidRPr="0034466D">
        <w:rPr>
          <w:rFonts w:ascii="Garamond" w:hAnsi="Garamond"/>
        </w:rPr>
        <w:t>Goiânia, Goiás, inscrito na matrícula nº 66.405</w:t>
      </w:r>
      <w:r w:rsidRPr="0034466D">
        <w:rPr>
          <w:rFonts w:ascii="Garamond" w:hAnsi="Garamond"/>
          <w:spacing w:val="2"/>
        </w:rPr>
        <w:t xml:space="preserve">, onde vemos claramente em Certidão que pertence EXCLUSIVAMENTE aos </w:t>
      </w:r>
      <w:r w:rsidRPr="0034466D">
        <w:rPr>
          <w:rFonts w:ascii="Garamond" w:hAnsi="Garamond"/>
          <w:u w:val="single"/>
        </w:rPr>
        <w:t xml:space="preserve">herdeiros </w:t>
      </w:r>
      <w:r w:rsidRPr="0034466D">
        <w:rPr>
          <w:rFonts w:ascii="Garamond" w:hAnsi="Garamond" w:cs="Courier New"/>
          <w:u w:val="single"/>
        </w:rPr>
        <w:t xml:space="preserve">HAMILTON, ALTAMIR e DEUSA </w:t>
      </w:r>
      <w:r w:rsidRPr="0034466D">
        <w:rPr>
          <w:rFonts w:ascii="Garamond" w:hAnsi="Garamond" w:cs="Courier New"/>
        </w:rPr>
        <w:t xml:space="preserve"> e assim, </w:t>
      </w:r>
      <w:r w:rsidRPr="0034466D">
        <w:rPr>
          <w:rFonts w:ascii="Garamond" w:hAnsi="Garamond" w:cs="Courier New"/>
          <w:u w:val="single"/>
        </w:rPr>
        <w:t>em nada possui direito a esse imóvel o inventariante, tão pouco a outra herdeira Sra. Elza</w:t>
      </w:r>
      <w:r w:rsidRPr="0034466D">
        <w:rPr>
          <w:rFonts w:ascii="Garamond" w:hAnsi="Garamond" w:cs="Courier New"/>
        </w:rPr>
        <w:t xml:space="preserve">, pois </w:t>
      </w:r>
      <w:r w:rsidRPr="0034466D">
        <w:rPr>
          <w:rFonts w:ascii="Garamond" w:hAnsi="Garamond" w:cs="Courier New"/>
          <w:u w:val="single"/>
        </w:rPr>
        <w:t>o bem imóvel NUNCA foi do inventariando.</w:t>
      </w:r>
    </w:p>
    <w:p w14:paraId="6456CE53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firstLine="708"/>
        <w:jc w:val="both"/>
        <w:rPr>
          <w:rFonts w:ascii="Garamond" w:hAnsi="Garamond"/>
        </w:rPr>
      </w:pPr>
      <w:r w:rsidRPr="0034466D">
        <w:rPr>
          <w:rFonts w:ascii="Garamond" w:hAnsi="Garamond"/>
          <w:spacing w:val="2"/>
        </w:rPr>
        <w:t xml:space="preserve">Nesse mesmo imóvel ainda </w:t>
      </w:r>
      <w:proofErr w:type="gramStart"/>
      <w:r w:rsidRPr="0034466D">
        <w:rPr>
          <w:rFonts w:ascii="Garamond" w:hAnsi="Garamond"/>
          <w:spacing w:val="2"/>
        </w:rPr>
        <w:t xml:space="preserve">-  </w:t>
      </w:r>
      <w:r w:rsidRPr="0034466D">
        <w:rPr>
          <w:rFonts w:ascii="Garamond" w:hAnsi="Garamond"/>
          <w:b/>
          <w:i/>
        </w:rPr>
        <w:t>LOTE</w:t>
      </w:r>
      <w:proofErr w:type="gramEnd"/>
      <w:r w:rsidRPr="0034466D">
        <w:rPr>
          <w:rFonts w:ascii="Garamond" w:hAnsi="Garamond"/>
          <w:b/>
          <w:i/>
        </w:rPr>
        <w:t xml:space="preserve"> 03</w:t>
      </w:r>
      <w:r w:rsidRPr="0034466D">
        <w:rPr>
          <w:rFonts w:ascii="Garamond" w:hAnsi="Garamond"/>
          <w:i/>
        </w:rPr>
        <w:t>, quadra 62, A</w:t>
      </w:r>
      <w:r w:rsidRPr="0034466D">
        <w:rPr>
          <w:rFonts w:ascii="Garamond" w:hAnsi="Garamond" w:cs="Bookman Old Style"/>
          <w:i/>
        </w:rPr>
        <w:t xml:space="preserve">venida Circular, esquina com a rua 1.024, Setor Pedro Ludovico, </w:t>
      </w:r>
      <w:r w:rsidRPr="0034466D">
        <w:rPr>
          <w:rFonts w:ascii="Garamond" w:hAnsi="Garamond"/>
          <w:i/>
        </w:rPr>
        <w:t>Goiânia, Goiás, inscrito na matrícula nº 66.405</w:t>
      </w:r>
      <w:r w:rsidRPr="0034466D">
        <w:rPr>
          <w:rFonts w:ascii="Garamond" w:hAnsi="Garamond"/>
        </w:rPr>
        <w:t xml:space="preserve">. – </w:t>
      </w:r>
      <w:proofErr w:type="gramStart"/>
      <w:r w:rsidRPr="0034466D">
        <w:rPr>
          <w:rFonts w:ascii="Garamond" w:hAnsi="Garamond"/>
        </w:rPr>
        <w:t>possui</w:t>
      </w:r>
      <w:proofErr w:type="gramEnd"/>
      <w:r w:rsidRPr="0034466D">
        <w:rPr>
          <w:rFonts w:ascii="Garamond" w:hAnsi="Garamond"/>
        </w:rPr>
        <w:t xml:space="preserve"> outro comercio locado, tal seja DIVAR PEROH DE MOURA (MUNDIAL FRIOS), qual </w:t>
      </w:r>
      <w:r w:rsidRPr="0034466D">
        <w:rPr>
          <w:rFonts w:ascii="Garamond" w:hAnsi="Garamond"/>
          <w:u w:val="single"/>
        </w:rPr>
        <w:t>o locatário deposita em juízo o aluguel</w:t>
      </w:r>
      <w:r w:rsidRPr="0034466D">
        <w:rPr>
          <w:rFonts w:ascii="Garamond" w:hAnsi="Garamond"/>
        </w:rPr>
        <w:t xml:space="preserve">, sem nenhum aumento proporcional do aluguel a anos e </w:t>
      </w:r>
      <w:r w:rsidRPr="0034466D">
        <w:rPr>
          <w:rFonts w:ascii="Garamond" w:hAnsi="Garamond"/>
          <w:u w:val="single"/>
        </w:rPr>
        <w:t>indevidamente</w:t>
      </w:r>
      <w:r w:rsidRPr="0034466D">
        <w:rPr>
          <w:rFonts w:ascii="Garamond" w:hAnsi="Garamond"/>
        </w:rPr>
        <w:t>, pois o IMÓVEL NÃO PERTENCE AO ESPÓLIO.</w:t>
      </w:r>
    </w:p>
    <w:p w14:paraId="7136290E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firstLine="70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 xml:space="preserve">O inventariante não pode transigir em juízo ou fora dele quanto aos bens do espólio sem autorização judicial, uma vez que gera repercussão econômica no patrimônio do espólio. </w:t>
      </w:r>
    </w:p>
    <w:p w14:paraId="45D1F54C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firstLine="70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>Segundo Caio Mário da Silva Pereira, o inventariante que descumprir seus deveres terá de ser responsabilizado na forma do direito comum, sem prejuízo de outras sanções, ocasião em que poderá ser compelido a ressarcir aos herdeiros danos causados aos bens do espólio, pagar juros de gastos que tiver feito em proveito próprio, etc.</w:t>
      </w:r>
    </w:p>
    <w:p w14:paraId="22BC3E27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firstLine="70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>No mesmo sentido, aduz Maximiliano:</w:t>
      </w:r>
    </w:p>
    <w:p w14:paraId="2AA913F8" w14:textId="77777777" w:rsidR="0034466D" w:rsidRPr="0034466D" w:rsidRDefault="0034466D" w:rsidP="0034466D">
      <w:pPr>
        <w:pStyle w:val="NormalWeb"/>
        <w:shd w:val="clear" w:color="auto" w:fill="FFFFFF"/>
        <w:spacing w:before="0" w:after="480" w:line="360" w:lineRule="auto"/>
        <w:ind w:left="226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 xml:space="preserve">O inventariante paga juros, a contar do dia em que fica em mora, pelos dinheiros do espólio não entregues logo após o julgamento da partilha; é obrigado a ressarcir os prejuízos causados por sua negligência, dolo ou imperícia, e até decorrentes de culpa leve; pois assume o dever de zelar para que os bens do acervo se não percam ou deteriorem. Não o consideram mandatário, nem depositário; porém administrador de bens alheios; portanto não prendem como depositário infiel, por </w:t>
      </w:r>
      <w:r w:rsidRPr="0034466D">
        <w:rPr>
          <w:rFonts w:ascii="Garamond" w:hAnsi="Garamond"/>
          <w:spacing w:val="2"/>
        </w:rPr>
        <w:lastRenderedPageBreak/>
        <w:t>indevidamente receber ou não restituir dinheiro e outros valores do espólio, assim como por não entregar ao sucessor, universal ou singular, o respectivo quinhão ou legado.</w:t>
      </w:r>
    </w:p>
    <w:p w14:paraId="336FD49B" w14:textId="77777777" w:rsidR="0034466D" w:rsidRPr="0034466D" w:rsidRDefault="0034466D" w:rsidP="0034466D">
      <w:pPr>
        <w:pStyle w:val="NormalWeb"/>
        <w:shd w:val="clear" w:color="auto" w:fill="FFFFFF"/>
        <w:spacing w:before="0" w:after="0" w:line="360" w:lineRule="auto"/>
        <w:ind w:firstLine="708"/>
        <w:jc w:val="both"/>
        <w:rPr>
          <w:rFonts w:ascii="Garamond" w:hAnsi="Garamond"/>
          <w:spacing w:val="2"/>
        </w:rPr>
      </w:pPr>
      <w:r w:rsidRPr="0034466D">
        <w:rPr>
          <w:rFonts w:ascii="Garamond" w:hAnsi="Garamond"/>
          <w:spacing w:val="2"/>
        </w:rPr>
        <w:t xml:space="preserve">Então, diante do exposto, tem-se que o inventariante não pode ser nomeado arbitrariamente, pois </w:t>
      </w:r>
      <w:r w:rsidRPr="0034466D">
        <w:rPr>
          <w:rFonts w:ascii="Garamond" w:hAnsi="Garamond"/>
          <w:b/>
          <w:spacing w:val="2"/>
        </w:rPr>
        <w:t xml:space="preserve">nunca conviveu com o de </w:t>
      </w:r>
      <w:r w:rsidRPr="0034466D">
        <w:rPr>
          <w:rFonts w:ascii="Garamond" w:hAnsi="Garamond"/>
          <w:b/>
          <w:i/>
          <w:spacing w:val="2"/>
        </w:rPr>
        <w:t>cujus</w:t>
      </w:r>
      <w:r w:rsidRPr="0034466D">
        <w:rPr>
          <w:rFonts w:ascii="Garamond" w:hAnsi="Garamond"/>
          <w:spacing w:val="2"/>
        </w:rPr>
        <w:t xml:space="preserve">, </w:t>
      </w:r>
      <w:r w:rsidRPr="0034466D">
        <w:rPr>
          <w:rFonts w:ascii="Garamond" w:hAnsi="Garamond"/>
          <w:b/>
          <w:spacing w:val="2"/>
        </w:rPr>
        <w:t>não está se mostrando idôneo</w:t>
      </w:r>
      <w:r w:rsidRPr="0034466D">
        <w:rPr>
          <w:rFonts w:ascii="Garamond" w:hAnsi="Garamond"/>
          <w:spacing w:val="2"/>
        </w:rPr>
        <w:t xml:space="preserve"> e </w:t>
      </w:r>
      <w:r w:rsidRPr="0034466D">
        <w:rPr>
          <w:rFonts w:ascii="Garamond" w:hAnsi="Garamond"/>
          <w:b/>
          <w:spacing w:val="2"/>
        </w:rPr>
        <w:t>não é o indicado pela maioria dos herdeiros</w:t>
      </w:r>
      <w:r w:rsidRPr="0034466D">
        <w:rPr>
          <w:rFonts w:ascii="Garamond" w:hAnsi="Garamond"/>
          <w:spacing w:val="2"/>
        </w:rPr>
        <w:t xml:space="preserve">. </w:t>
      </w:r>
    </w:p>
    <w:p w14:paraId="643C0B09" w14:textId="77777777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34466D">
        <w:rPr>
          <w:rFonts w:ascii="Garamond" w:hAnsi="Garamond"/>
          <w:color w:val="000000"/>
          <w:sz w:val="24"/>
          <w:szCs w:val="24"/>
        </w:rPr>
        <w:br/>
      </w:r>
      <w:r w:rsidRPr="0034466D">
        <w:rPr>
          <w:rFonts w:ascii="Garamond" w:hAnsi="Garamond"/>
          <w:b/>
          <w:color w:val="000000"/>
          <w:sz w:val="24"/>
          <w:szCs w:val="24"/>
          <w:u w:val="single"/>
        </w:rPr>
        <w:t>DOS PEDIDOS</w:t>
      </w:r>
    </w:p>
    <w:p w14:paraId="6E80321B" w14:textId="566BFA85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color w:val="000000"/>
          <w:sz w:val="24"/>
          <w:szCs w:val="24"/>
        </w:rPr>
        <w:t xml:space="preserve">Ante o exposto, requer seja o </w:t>
      </w:r>
      <w:r w:rsidRPr="0034466D">
        <w:rPr>
          <w:rFonts w:ascii="Garamond" w:hAnsi="Garamond"/>
          <w:b/>
          <w:color w:val="000000"/>
          <w:sz w:val="24"/>
          <w:szCs w:val="24"/>
        </w:rPr>
        <w:t>inventariante removido</w:t>
      </w:r>
      <w:r w:rsidRPr="0034466D">
        <w:rPr>
          <w:rFonts w:ascii="Garamond" w:hAnsi="Garamond"/>
          <w:color w:val="000000"/>
          <w:sz w:val="24"/>
          <w:szCs w:val="24"/>
        </w:rPr>
        <w:t xml:space="preserve">, com a </w:t>
      </w:r>
      <w:r w:rsidRPr="0034466D">
        <w:rPr>
          <w:rFonts w:ascii="Garamond" w:hAnsi="Garamond"/>
          <w:color w:val="000000"/>
          <w:sz w:val="24"/>
          <w:szCs w:val="24"/>
          <w:u w:val="single"/>
        </w:rPr>
        <w:t>imediata nomeação de outro</w:t>
      </w:r>
      <w:r w:rsidRPr="0034466D">
        <w:rPr>
          <w:rFonts w:ascii="Garamond" w:hAnsi="Garamond"/>
          <w:color w:val="000000"/>
          <w:sz w:val="24"/>
          <w:szCs w:val="24"/>
        </w:rPr>
        <w:t xml:space="preserve">, que nesse caso a maioria dos herdeiros escolheram o herdeiro peticionante, Sr. </w:t>
      </w:r>
      <w:r w:rsidR="002C32D2">
        <w:rPr>
          <w:rFonts w:ascii="Garamond" w:hAnsi="Garamond"/>
          <w:b/>
          <w:sz w:val="24"/>
          <w:szCs w:val="24"/>
        </w:rPr>
        <w:t>______</w:t>
      </w:r>
      <w:r w:rsidRPr="0034466D">
        <w:rPr>
          <w:rFonts w:ascii="Garamond" w:hAnsi="Garamond"/>
          <w:b/>
          <w:sz w:val="24"/>
          <w:szCs w:val="24"/>
        </w:rPr>
        <w:t xml:space="preserve">, </w:t>
      </w:r>
      <w:r w:rsidRPr="0034466D">
        <w:rPr>
          <w:rFonts w:ascii="Garamond" w:hAnsi="Garamond"/>
          <w:sz w:val="24"/>
          <w:szCs w:val="24"/>
        </w:rPr>
        <w:t>sendo ainda que a assinatura dos mesmos vai em conjunto a dos peticionantes.</w:t>
      </w:r>
    </w:p>
    <w:p w14:paraId="470F2DD8" w14:textId="423F1939" w:rsidR="0034466D" w:rsidRPr="0034466D" w:rsidRDefault="0034466D" w:rsidP="0034466D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Garamond" w:hAnsi="Garamond"/>
          <w:sz w:val="24"/>
          <w:szCs w:val="24"/>
        </w:rPr>
      </w:pPr>
      <w:r w:rsidRPr="0034466D">
        <w:rPr>
          <w:rFonts w:ascii="Garamond" w:hAnsi="Garamond"/>
          <w:color w:val="000000"/>
          <w:sz w:val="24"/>
          <w:szCs w:val="24"/>
        </w:rPr>
        <w:t xml:space="preserve">Requer por fim, seja </w:t>
      </w:r>
      <w:r w:rsidRPr="0034466D">
        <w:rPr>
          <w:rFonts w:ascii="Garamond" w:hAnsi="Garamond"/>
          <w:color w:val="000000"/>
          <w:sz w:val="24"/>
          <w:szCs w:val="24"/>
          <w:u w:val="single"/>
        </w:rPr>
        <w:t xml:space="preserve">expedido alvará </w:t>
      </w:r>
      <w:r w:rsidRPr="0034466D">
        <w:rPr>
          <w:rFonts w:ascii="Garamond" w:hAnsi="Garamond"/>
          <w:color w:val="000000"/>
          <w:sz w:val="24"/>
          <w:szCs w:val="24"/>
        </w:rPr>
        <w:t xml:space="preserve">aos herdeiros </w:t>
      </w:r>
      <w:r w:rsidR="002C32D2">
        <w:rPr>
          <w:rFonts w:ascii="Garamond" w:hAnsi="Garamond" w:cs="Courier New"/>
          <w:sz w:val="24"/>
          <w:szCs w:val="24"/>
          <w:u w:val="single"/>
        </w:rPr>
        <w:t>_________</w:t>
      </w:r>
      <w:r w:rsidRPr="0034466D">
        <w:rPr>
          <w:rFonts w:ascii="Garamond" w:hAnsi="Garamond" w:cs="Courier New"/>
          <w:sz w:val="24"/>
          <w:szCs w:val="24"/>
        </w:rPr>
        <w:t xml:space="preserve"> </w:t>
      </w:r>
      <w:proofErr w:type="gramStart"/>
      <w:r w:rsidRPr="0034466D">
        <w:rPr>
          <w:rFonts w:ascii="Garamond" w:hAnsi="Garamond"/>
          <w:color w:val="000000"/>
          <w:sz w:val="24"/>
          <w:szCs w:val="24"/>
          <w:u w:val="single"/>
        </w:rPr>
        <w:t>dos depósitos judiciais</w:t>
      </w:r>
      <w:r w:rsidRPr="0034466D">
        <w:rPr>
          <w:rFonts w:ascii="Garamond" w:hAnsi="Garamond"/>
          <w:color w:val="000000"/>
          <w:sz w:val="24"/>
          <w:szCs w:val="24"/>
        </w:rPr>
        <w:t xml:space="preserve"> realizados </w:t>
      </w:r>
      <w:r w:rsidRPr="0034466D">
        <w:rPr>
          <w:rFonts w:ascii="Garamond" w:hAnsi="Garamond" w:cs="Courier New"/>
          <w:sz w:val="24"/>
          <w:szCs w:val="24"/>
        </w:rPr>
        <w:t>referente</w:t>
      </w:r>
      <w:proofErr w:type="gramEnd"/>
      <w:r w:rsidRPr="0034466D">
        <w:rPr>
          <w:rFonts w:ascii="Garamond" w:hAnsi="Garamond" w:cs="Courier New"/>
          <w:sz w:val="24"/>
          <w:szCs w:val="24"/>
        </w:rPr>
        <w:t xml:space="preserve"> aos imóveis que são exclusivamente destes e não do espólio.</w:t>
      </w:r>
    </w:p>
    <w:p w14:paraId="2C5E9102" w14:textId="77777777" w:rsidR="0034466D" w:rsidRPr="0034466D" w:rsidRDefault="0034466D" w:rsidP="0034466D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2EDD5E3" w14:textId="77777777" w:rsidR="0034466D" w:rsidRPr="0034466D" w:rsidRDefault="0034466D" w:rsidP="0034466D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9334F57" w14:textId="77777777" w:rsidR="0034466D" w:rsidRPr="0034466D" w:rsidRDefault="0034466D" w:rsidP="0034466D">
      <w:pPr>
        <w:spacing w:line="360" w:lineRule="auto"/>
        <w:jc w:val="center"/>
        <w:rPr>
          <w:rFonts w:ascii="Garamond" w:hAnsi="Garamond"/>
          <w:color w:val="000000" w:themeColor="text1"/>
          <w:sz w:val="24"/>
          <w:szCs w:val="24"/>
        </w:rPr>
      </w:pPr>
      <w:r w:rsidRPr="0034466D">
        <w:rPr>
          <w:rFonts w:ascii="Garamond" w:hAnsi="Garamond"/>
          <w:color w:val="000000" w:themeColor="text1"/>
          <w:sz w:val="24"/>
          <w:szCs w:val="24"/>
        </w:rPr>
        <w:t>Termos em que, pede deferimento.</w:t>
      </w:r>
    </w:p>
    <w:p w14:paraId="00778956" w14:textId="77777777" w:rsidR="0034466D" w:rsidRPr="0034466D" w:rsidRDefault="0034466D" w:rsidP="0034466D">
      <w:pPr>
        <w:spacing w:line="360" w:lineRule="auto"/>
        <w:jc w:val="center"/>
        <w:rPr>
          <w:rFonts w:ascii="Garamond" w:hAnsi="Garamond"/>
          <w:color w:val="000000" w:themeColor="text1"/>
          <w:sz w:val="24"/>
          <w:szCs w:val="24"/>
        </w:rPr>
      </w:pPr>
    </w:p>
    <w:p w14:paraId="04DC5BB9" w14:textId="7787922C" w:rsidR="0034466D" w:rsidRPr="0034466D" w:rsidRDefault="00FC5236" w:rsidP="0034466D">
      <w:pPr>
        <w:spacing w:line="360" w:lineRule="auto"/>
        <w:jc w:val="center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LOCAL/DATA</w:t>
      </w:r>
    </w:p>
    <w:p w14:paraId="5CD773D7" w14:textId="044AE7AC" w:rsidR="0034466D" w:rsidRPr="0034466D" w:rsidRDefault="0034466D" w:rsidP="0034466D">
      <w:pPr>
        <w:spacing w:line="36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9C3A164" w14:textId="77777777" w:rsidR="0034466D" w:rsidRDefault="0034466D" w:rsidP="0034466D">
      <w:pPr>
        <w:spacing w:line="36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45F3958B" w14:textId="77777777" w:rsidR="0034466D" w:rsidRDefault="0034466D" w:rsidP="0034466D">
      <w:pPr>
        <w:spacing w:line="36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61D28EC4" w14:textId="77777777" w:rsidR="0034466D" w:rsidRDefault="0034466D" w:rsidP="0034466D">
      <w:pPr>
        <w:spacing w:line="36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4931579C" w14:textId="71AF196C" w:rsidR="00FC5236" w:rsidRDefault="00FC5236" w:rsidP="00FC5236">
      <w:pPr>
        <w:jc w:val="center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ADVOGADO</w:t>
      </w:r>
    </w:p>
    <w:p w14:paraId="656F2869" w14:textId="269A30B2" w:rsidR="00FC5236" w:rsidRDefault="00FC5236" w:rsidP="00FC5236">
      <w:pPr>
        <w:jc w:val="center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OAB Nº/ UF</w:t>
      </w:r>
    </w:p>
    <w:p w14:paraId="411BB74A" w14:textId="77777777" w:rsidR="00FC5236" w:rsidRPr="0034466D" w:rsidRDefault="00FC5236" w:rsidP="00FC5236">
      <w:pPr>
        <w:rPr>
          <w:rFonts w:ascii="Garamond" w:hAnsi="Garamond"/>
          <w:sz w:val="24"/>
          <w:szCs w:val="24"/>
        </w:rPr>
      </w:pPr>
    </w:p>
    <w:p w14:paraId="06234D4D" w14:textId="6E2F1649" w:rsidR="000710C7" w:rsidRPr="0034466D" w:rsidRDefault="000710C7" w:rsidP="00745486">
      <w:pPr>
        <w:rPr>
          <w:rFonts w:ascii="Garamond" w:hAnsi="Garamond"/>
          <w:sz w:val="24"/>
          <w:szCs w:val="24"/>
        </w:rPr>
      </w:pPr>
    </w:p>
    <w:sectPr w:rsidR="000710C7" w:rsidRPr="0034466D" w:rsidSect="009376E0">
      <w:headerReference w:type="default" r:id="rId12"/>
      <w:footerReference w:type="default" r:id="rId13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0A1B5" w14:textId="77777777" w:rsidR="001F3441" w:rsidRDefault="001F3441" w:rsidP="0012525E">
      <w:pPr>
        <w:spacing w:line="240" w:lineRule="auto"/>
      </w:pPr>
      <w:r>
        <w:separator/>
      </w:r>
    </w:p>
  </w:endnote>
  <w:endnote w:type="continuationSeparator" w:id="0">
    <w:p w14:paraId="1C1A55C9" w14:textId="77777777" w:rsidR="001F3441" w:rsidRDefault="001F3441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sual"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Papyrus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151A1">
      <w:rPr>
        <w:noProof/>
      </w:rPr>
      <w:t>1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8060" w14:textId="77777777" w:rsidR="001F3441" w:rsidRDefault="001F3441" w:rsidP="0012525E">
      <w:pPr>
        <w:spacing w:line="240" w:lineRule="auto"/>
      </w:pPr>
      <w:r>
        <w:separator/>
      </w:r>
    </w:p>
  </w:footnote>
  <w:footnote w:type="continuationSeparator" w:id="0">
    <w:p w14:paraId="367462EA" w14:textId="77777777" w:rsidR="001F3441" w:rsidRDefault="001F3441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037"/>
    <w:multiLevelType w:val="hybridMultilevel"/>
    <w:tmpl w:val="442A5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0"/>
    <w:rsid w:val="0001072C"/>
    <w:rsid w:val="000131B7"/>
    <w:rsid w:val="00032E90"/>
    <w:rsid w:val="000343E3"/>
    <w:rsid w:val="00056B70"/>
    <w:rsid w:val="000710C7"/>
    <w:rsid w:val="0007767A"/>
    <w:rsid w:val="00082D51"/>
    <w:rsid w:val="000913A0"/>
    <w:rsid w:val="000A13B6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13F05"/>
    <w:rsid w:val="00114CC5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D1885"/>
    <w:rsid w:val="001F1E1D"/>
    <w:rsid w:val="001F3441"/>
    <w:rsid w:val="001F359B"/>
    <w:rsid w:val="001F3D8C"/>
    <w:rsid w:val="0021383D"/>
    <w:rsid w:val="00214215"/>
    <w:rsid w:val="002164A9"/>
    <w:rsid w:val="00216D43"/>
    <w:rsid w:val="0022145E"/>
    <w:rsid w:val="00221988"/>
    <w:rsid w:val="0024582B"/>
    <w:rsid w:val="0025311C"/>
    <w:rsid w:val="00253955"/>
    <w:rsid w:val="00260720"/>
    <w:rsid w:val="002672DD"/>
    <w:rsid w:val="00284080"/>
    <w:rsid w:val="002B043D"/>
    <w:rsid w:val="002B48B5"/>
    <w:rsid w:val="002B5000"/>
    <w:rsid w:val="002C32D2"/>
    <w:rsid w:val="002D6B5E"/>
    <w:rsid w:val="002E6588"/>
    <w:rsid w:val="002F7C2C"/>
    <w:rsid w:val="003011B4"/>
    <w:rsid w:val="0030668C"/>
    <w:rsid w:val="00313F37"/>
    <w:rsid w:val="00333B5C"/>
    <w:rsid w:val="003366FE"/>
    <w:rsid w:val="0034466D"/>
    <w:rsid w:val="003545E2"/>
    <w:rsid w:val="003605AE"/>
    <w:rsid w:val="00361752"/>
    <w:rsid w:val="003628A8"/>
    <w:rsid w:val="00371562"/>
    <w:rsid w:val="00374BE4"/>
    <w:rsid w:val="00385AE8"/>
    <w:rsid w:val="00391EF1"/>
    <w:rsid w:val="00392DA2"/>
    <w:rsid w:val="003957EB"/>
    <w:rsid w:val="00395BE5"/>
    <w:rsid w:val="003A3B5D"/>
    <w:rsid w:val="003A6289"/>
    <w:rsid w:val="003A6316"/>
    <w:rsid w:val="003C39C2"/>
    <w:rsid w:val="003D3A6A"/>
    <w:rsid w:val="003F424B"/>
    <w:rsid w:val="003F4C0D"/>
    <w:rsid w:val="00404E9F"/>
    <w:rsid w:val="00422F08"/>
    <w:rsid w:val="00427473"/>
    <w:rsid w:val="00427593"/>
    <w:rsid w:val="004277BD"/>
    <w:rsid w:val="004304F6"/>
    <w:rsid w:val="00440D51"/>
    <w:rsid w:val="0044206C"/>
    <w:rsid w:val="00443C05"/>
    <w:rsid w:val="0045178D"/>
    <w:rsid w:val="00452FED"/>
    <w:rsid w:val="00464331"/>
    <w:rsid w:val="00465305"/>
    <w:rsid w:val="0047099E"/>
    <w:rsid w:val="00470E13"/>
    <w:rsid w:val="00473205"/>
    <w:rsid w:val="00482238"/>
    <w:rsid w:val="00483989"/>
    <w:rsid w:val="00497ACA"/>
    <w:rsid w:val="004A5152"/>
    <w:rsid w:val="004B112A"/>
    <w:rsid w:val="004B193D"/>
    <w:rsid w:val="004D04B0"/>
    <w:rsid w:val="004D5F5D"/>
    <w:rsid w:val="004E17C4"/>
    <w:rsid w:val="004E5586"/>
    <w:rsid w:val="004E7315"/>
    <w:rsid w:val="004F4B90"/>
    <w:rsid w:val="004F76D8"/>
    <w:rsid w:val="00511627"/>
    <w:rsid w:val="00512CD4"/>
    <w:rsid w:val="005151A1"/>
    <w:rsid w:val="00546EA6"/>
    <w:rsid w:val="0055236A"/>
    <w:rsid w:val="00564A8D"/>
    <w:rsid w:val="00565DD0"/>
    <w:rsid w:val="00590776"/>
    <w:rsid w:val="005975D2"/>
    <w:rsid w:val="005A6E9C"/>
    <w:rsid w:val="005B0DEE"/>
    <w:rsid w:val="005B4A3F"/>
    <w:rsid w:val="005B64AD"/>
    <w:rsid w:val="005D383B"/>
    <w:rsid w:val="005D7F6A"/>
    <w:rsid w:val="006136B5"/>
    <w:rsid w:val="0061433B"/>
    <w:rsid w:val="006165EF"/>
    <w:rsid w:val="00626F0E"/>
    <w:rsid w:val="00634D80"/>
    <w:rsid w:val="00637240"/>
    <w:rsid w:val="00653F5F"/>
    <w:rsid w:val="006552BC"/>
    <w:rsid w:val="00662096"/>
    <w:rsid w:val="00686FCE"/>
    <w:rsid w:val="00693A72"/>
    <w:rsid w:val="006940EC"/>
    <w:rsid w:val="006A34F4"/>
    <w:rsid w:val="006A799A"/>
    <w:rsid w:val="006B189C"/>
    <w:rsid w:val="006C4334"/>
    <w:rsid w:val="006C5FBE"/>
    <w:rsid w:val="006D00DD"/>
    <w:rsid w:val="006D3266"/>
    <w:rsid w:val="006D7C68"/>
    <w:rsid w:val="006E05A2"/>
    <w:rsid w:val="006E643A"/>
    <w:rsid w:val="006E72D9"/>
    <w:rsid w:val="006E77D6"/>
    <w:rsid w:val="006E7C35"/>
    <w:rsid w:val="006E7FD3"/>
    <w:rsid w:val="006F1DA1"/>
    <w:rsid w:val="006F3DA1"/>
    <w:rsid w:val="006F4112"/>
    <w:rsid w:val="006F6D7E"/>
    <w:rsid w:val="00700D46"/>
    <w:rsid w:val="00702208"/>
    <w:rsid w:val="00702710"/>
    <w:rsid w:val="0072162D"/>
    <w:rsid w:val="007356D0"/>
    <w:rsid w:val="00744DB2"/>
    <w:rsid w:val="00745486"/>
    <w:rsid w:val="00746591"/>
    <w:rsid w:val="007608A3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B0F"/>
    <w:rsid w:val="007D2147"/>
    <w:rsid w:val="007D7498"/>
    <w:rsid w:val="00802EF8"/>
    <w:rsid w:val="00814450"/>
    <w:rsid w:val="00824A9F"/>
    <w:rsid w:val="0082589E"/>
    <w:rsid w:val="00826651"/>
    <w:rsid w:val="00834950"/>
    <w:rsid w:val="008369E3"/>
    <w:rsid w:val="008415CA"/>
    <w:rsid w:val="00851FC3"/>
    <w:rsid w:val="00853478"/>
    <w:rsid w:val="00854FB3"/>
    <w:rsid w:val="0086445F"/>
    <w:rsid w:val="008706DE"/>
    <w:rsid w:val="0088449B"/>
    <w:rsid w:val="00885835"/>
    <w:rsid w:val="0089676E"/>
    <w:rsid w:val="008B3001"/>
    <w:rsid w:val="008C037B"/>
    <w:rsid w:val="008C15F5"/>
    <w:rsid w:val="008C542F"/>
    <w:rsid w:val="008D0816"/>
    <w:rsid w:val="008D372F"/>
    <w:rsid w:val="008E1A94"/>
    <w:rsid w:val="008E2E44"/>
    <w:rsid w:val="008F1046"/>
    <w:rsid w:val="008F6F33"/>
    <w:rsid w:val="008F6F45"/>
    <w:rsid w:val="00906059"/>
    <w:rsid w:val="00923073"/>
    <w:rsid w:val="00925D37"/>
    <w:rsid w:val="00933433"/>
    <w:rsid w:val="00934178"/>
    <w:rsid w:val="00936CD8"/>
    <w:rsid w:val="009376E0"/>
    <w:rsid w:val="00945D6C"/>
    <w:rsid w:val="00951ED1"/>
    <w:rsid w:val="00955134"/>
    <w:rsid w:val="00964169"/>
    <w:rsid w:val="00970854"/>
    <w:rsid w:val="00971169"/>
    <w:rsid w:val="00977496"/>
    <w:rsid w:val="009833CE"/>
    <w:rsid w:val="0098743E"/>
    <w:rsid w:val="0098746C"/>
    <w:rsid w:val="009B3D28"/>
    <w:rsid w:val="009C19E8"/>
    <w:rsid w:val="009C5635"/>
    <w:rsid w:val="009D1107"/>
    <w:rsid w:val="00A1189B"/>
    <w:rsid w:val="00A26A75"/>
    <w:rsid w:val="00A3612B"/>
    <w:rsid w:val="00A36FE3"/>
    <w:rsid w:val="00A40025"/>
    <w:rsid w:val="00A42405"/>
    <w:rsid w:val="00A430C3"/>
    <w:rsid w:val="00A50BA2"/>
    <w:rsid w:val="00A5108A"/>
    <w:rsid w:val="00A52557"/>
    <w:rsid w:val="00A53029"/>
    <w:rsid w:val="00A7219B"/>
    <w:rsid w:val="00A72791"/>
    <w:rsid w:val="00A742A5"/>
    <w:rsid w:val="00A82EFD"/>
    <w:rsid w:val="00A93CAA"/>
    <w:rsid w:val="00A97ECA"/>
    <w:rsid w:val="00AA7698"/>
    <w:rsid w:val="00AB0600"/>
    <w:rsid w:val="00AB27FB"/>
    <w:rsid w:val="00AB7D4F"/>
    <w:rsid w:val="00AE1441"/>
    <w:rsid w:val="00B10D0F"/>
    <w:rsid w:val="00B35B33"/>
    <w:rsid w:val="00B51DDF"/>
    <w:rsid w:val="00B63CB3"/>
    <w:rsid w:val="00B63CC2"/>
    <w:rsid w:val="00B64A76"/>
    <w:rsid w:val="00B662B4"/>
    <w:rsid w:val="00B84601"/>
    <w:rsid w:val="00B9175F"/>
    <w:rsid w:val="00BA37A7"/>
    <w:rsid w:val="00BB56F0"/>
    <w:rsid w:val="00BC7A21"/>
    <w:rsid w:val="00BD3DCB"/>
    <w:rsid w:val="00BE1252"/>
    <w:rsid w:val="00BE1D4A"/>
    <w:rsid w:val="00BE3DB7"/>
    <w:rsid w:val="00BF5923"/>
    <w:rsid w:val="00BF63E5"/>
    <w:rsid w:val="00C010EC"/>
    <w:rsid w:val="00C01D4E"/>
    <w:rsid w:val="00C111DA"/>
    <w:rsid w:val="00C33DBE"/>
    <w:rsid w:val="00C33F36"/>
    <w:rsid w:val="00C36B6B"/>
    <w:rsid w:val="00C42DB9"/>
    <w:rsid w:val="00C44121"/>
    <w:rsid w:val="00C53AD9"/>
    <w:rsid w:val="00C56C73"/>
    <w:rsid w:val="00C62376"/>
    <w:rsid w:val="00C62E31"/>
    <w:rsid w:val="00C760B6"/>
    <w:rsid w:val="00CA2F9E"/>
    <w:rsid w:val="00CA38B2"/>
    <w:rsid w:val="00CA61A6"/>
    <w:rsid w:val="00CC629C"/>
    <w:rsid w:val="00CD3FD7"/>
    <w:rsid w:val="00CD7380"/>
    <w:rsid w:val="00CE410C"/>
    <w:rsid w:val="00CF589C"/>
    <w:rsid w:val="00D005B3"/>
    <w:rsid w:val="00D00FC5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81951"/>
    <w:rsid w:val="00D97C00"/>
    <w:rsid w:val="00DA13BB"/>
    <w:rsid w:val="00DA64B4"/>
    <w:rsid w:val="00DB5F2D"/>
    <w:rsid w:val="00DB740F"/>
    <w:rsid w:val="00DF4E08"/>
    <w:rsid w:val="00DF617D"/>
    <w:rsid w:val="00E03580"/>
    <w:rsid w:val="00E1250D"/>
    <w:rsid w:val="00E13BBE"/>
    <w:rsid w:val="00E42A04"/>
    <w:rsid w:val="00E42EFB"/>
    <w:rsid w:val="00E43298"/>
    <w:rsid w:val="00E5013D"/>
    <w:rsid w:val="00E55DE3"/>
    <w:rsid w:val="00E56C9C"/>
    <w:rsid w:val="00E57D11"/>
    <w:rsid w:val="00E647BF"/>
    <w:rsid w:val="00E67E6B"/>
    <w:rsid w:val="00E75579"/>
    <w:rsid w:val="00E84732"/>
    <w:rsid w:val="00E8500C"/>
    <w:rsid w:val="00E8532E"/>
    <w:rsid w:val="00E873A4"/>
    <w:rsid w:val="00EB71A5"/>
    <w:rsid w:val="00EC14B8"/>
    <w:rsid w:val="00EC5071"/>
    <w:rsid w:val="00EE00EF"/>
    <w:rsid w:val="00EE18E5"/>
    <w:rsid w:val="00EE26B7"/>
    <w:rsid w:val="00EF7553"/>
    <w:rsid w:val="00F1688A"/>
    <w:rsid w:val="00F22E32"/>
    <w:rsid w:val="00F246A7"/>
    <w:rsid w:val="00F273B5"/>
    <w:rsid w:val="00F27600"/>
    <w:rsid w:val="00F41BF4"/>
    <w:rsid w:val="00F72FFB"/>
    <w:rsid w:val="00F806B7"/>
    <w:rsid w:val="00FA747D"/>
    <w:rsid w:val="00FB47B1"/>
    <w:rsid w:val="00FC5236"/>
    <w:rsid w:val="00FD1514"/>
    <w:rsid w:val="00FD3207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styleId="Meno">
    <w:name w:val="Mention"/>
    <w:uiPriority w:val="99"/>
    <w:semiHidden/>
    <w:unhideWhenUsed/>
    <w:rsid w:val="0082589E"/>
    <w:rPr>
      <w:color w:val="2B579A"/>
      <w:shd w:val="clear" w:color="auto" w:fill="E6E6E6"/>
    </w:rPr>
  </w:style>
  <w:style w:type="character" w:styleId="MenoPendente">
    <w:name w:val="Unresolved Mention"/>
    <w:uiPriority w:val="99"/>
    <w:semiHidden/>
    <w:unhideWhenUsed/>
    <w:rsid w:val="00F806B7"/>
    <w:rPr>
      <w:color w:val="808080"/>
      <w:shd w:val="clear" w:color="auto" w:fill="E6E6E6"/>
    </w:rPr>
  </w:style>
  <w:style w:type="paragraph" w:customStyle="1" w:styleId="Default">
    <w:name w:val="Default"/>
    <w:rsid w:val="000A13B6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0A13B6"/>
  </w:style>
  <w:style w:type="character" w:customStyle="1" w:styleId="bold">
    <w:name w:val="bold"/>
    <w:basedOn w:val="Fontepargpadro"/>
    <w:rsid w:val="0034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67561/artigo-617-da-lei-n-5869-de-11-de-janeiro-de-197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sbrasil.com.br/legislacao/91735/c%C3%B3digo-processo-civil-lei-5869-7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usbrasil.com.br/topicos/10667561/artigo-617-da-lei-n-5869-de-11-de-janeiro-de-19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legislacao/91735/c%C3%B3digo-processo-civil-lei-5869-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E8146-40B2-9C47-8F81-5FE4C427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Francisco Neto</cp:lastModifiedBy>
  <cp:revision>4</cp:revision>
  <cp:lastPrinted>2019-02-14T21:08:00Z</cp:lastPrinted>
  <dcterms:created xsi:type="dcterms:W3CDTF">2019-02-20T19:12:00Z</dcterms:created>
  <dcterms:modified xsi:type="dcterms:W3CDTF">2019-06-06T21:41:00Z</dcterms:modified>
</cp:coreProperties>
</file>