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1190"/>
      <w:bookmarkStart w:id="1" w:name="_Hlk482880653"/>
      <w:bookmarkStart w:id="2" w:name="_GoBack"/>
      <w:r w:rsidRPr="003A16CF">
        <w:rPr>
          <w:rFonts w:ascii="Garamond" w:hAnsi="Garamond"/>
          <w:b/>
          <w:bCs/>
          <w:sz w:val="24"/>
          <w:szCs w:val="24"/>
        </w:rPr>
        <w:t xml:space="preserve">EXCELENTÍSSIMO JUÍZO DA ___ª VARA </w:t>
      </w:r>
      <w:r w:rsidRPr="003A16CF">
        <w:rPr>
          <w:rFonts w:ascii="Garamond" w:hAnsi="Garamond"/>
          <w:b/>
          <w:bCs/>
          <w:sz w:val="24"/>
          <w:szCs w:val="24"/>
        </w:rPr>
        <w:t>FEDERAL DE ___</w:t>
      </w: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3A16CF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3A16CF">
        <w:rPr>
          <w:rFonts w:ascii="Garamond" w:hAnsi="Garamond"/>
          <w:sz w:val="24"/>
          <w:szCs w:val="24"/>
        </w:rPr>
        <w:t>residente e domiciliado na</w:t>
      </w:r>
      <w:r w:rsidRPr="003A16CF">
        <w:rPr>
          <w:rFonts w:ascii="Garamond" w:hAnsi="Garamond"/>
          <w:b/>
          <w:bCs/>
          <w:sz w:val="24"/>
          <w:szCs w:val="24"/>
        </w:rPr>
        <w:t xml:space="preserve"> _____</w:t>
      </w:r>
      <w:r w:rsidRPr="003A16CF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3A16CF" w:rsidRPr="003A16CF" w:rsidRDefault="003A16CF" w:rsidP="003A16C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b/>
          <w:sz w:val="24"/>
          <w:szCs w:val="24"/>
          <w:lang w:eastAsia="pt-BR"/>
        </w:rPr>
        <w:t>AÇÃO DECLARAT</w:t>
      </w:r>
      <w:r w:rsidRPr="003A16CF">
        <w:rPr>
          <w:rFonts w:ascii="Garamond" w:eastAsia="Times New Roman" w:hAnsi="Garamond" w:cs="Tahoma"/>
          <w:b/>
          <w:sz w:val="24"/>
          <w:szCs w:val="24"/>
          <w:lang w:eastAsia="pt-BR"/>
        </w:rPr>
        <w:t>Ó</w:t>
      </w:r>
      <w:r w:rsidRPr="003A16CF">
        <w:rPr>
          <w:rFonts w:ascii="Garamond" w:eastAsia="Times New Roman" w:hAnsi="Garamond" w:cs="Tahoma"/>
          <w:b/>
          <w:sz w:val="24"/>
          <w:szCs w:val="24"/>
          <w:lang w:eastAsia="pt-BR"/>
        </w:rPr>
        <w:t>RIA DE ANULAÇÃO DE LANÇAMENTO FISCAL</w:t>
      </w: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3A16CF" w:rsidRPr="003A16CF" w:rsidRDefault="003A16CF" w:rsidP="003A16CF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sz w:val="24"/>
          <w:szCs w:val="24"/>
        </w:rPr>
        <w:t xml:space="preserve">em face de </w:t>
      </w:r>
      <w:r w:rsidRPr="003A16CF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3A16CF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49630A" w:rsidRPr="003A16CF" w:rsidRDefault="0049630A" w:rsidP="0049630A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3A16CF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49630A" w:rsidRPr="003A16CF" w:rsidRDefault="0049630A" w:rsidP="0049630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49630A" w:rsidRPr="003A16CF" w:rsidRDefault="0049630A" w:rsidP="0049630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3A16CF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3A16CF">
        <w:rPr>
          <w:rFonts w:ascii="Garamond" w:hAnsi="Garamond"/>
          <w:color w:val="000000"/>
          <w:sz w:val="24"/>
          <w:szCs w:val="24"/>
        </w:rPr>
        <w:t>.</w:t>
      </w:r>
    </w:p>
    <w:p w:rsidR="0049630A" w:rsidRPr="003A16CF" w:rsidRDefault="0049630A" w:rsidP="0049630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49630A" w:rsidRPr="003A16CF" w:rsidRDefault="0049630A" w:rsidP="0049630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color w:val="000000"/>
          <w:sz w:val="24"/>
          <w:szCs w:val="24"/>
        </w:rPr>
        <w:tab/>
        <w:t xml:space="preserve">Ocorre Meritíssimo que este requerente, não se encontra sem condição de arcar com as custas judiciárias, uma vez que não conta mais com os vencimentos quais gozava, sendo ainda que o valor outrora fixado em sede de pensão se faz altíssimo, razão da </w:t>
      </w:r>
      <w:r w:rsidRPr="003A16CF">
        <w:rPr>
          <w:rFonts w:ascii="Garamond" w:hAnsi="Garamond"/>
          <w:color w:val="000000"/>
          <w:sz w:val="24"/>
          <w:szCs w:val="24"/>
        </w:rPr>
        <w:lastRenderedPageBreak/>
        <w:t>presente demanda, salientando-se ainda que possui diversas despesas, quais são acostadas em anexo ao presente auto,</w:t>
      </w:r>
      <w:r w:rsidRPr="003A16CF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49630A" w:rsidRPr="003A16CF" w:rsidRDefault="0049630A" w:rsidP="0049630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49630A" w:rsidRPr="003A16CF" w:rsidRDefault="0049630A" w:rsidP="0049630A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49630A" w:rsidRPr="003A16CF" w:rsidRDefault="0049630A" w:rsidP="0049630A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3A16CF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3A16CF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49630A" w:rsidRPr="003A16CF" w:rsidRDefault="0049630A" w:rsidP="0049630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49630A" w:rsidRPr="003A16CF" w:rsidRDefault="0049630A" w:rsidP="0049630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49630A" w:rsidRPr="003A16CF" w:rsidRDefault="0049630A" w:rsidP="0049630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49630A" w:rsidRPr="003A16CF" w:rsidRDefault="0049630A" w:rsidP="0049630A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3A16CF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3A16CF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3A16CF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49630A" w:rsidRPr="003A16CF" w:rsidRDefault="0049630A" w:rsidP="0049630A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49630A" w:rsidRPr="003A16CF" w:rsidRDefault="0049630A" w:rsidP="0049630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49630A" w:rsidRPr="003A16CF" w:rsidRDefault="0049630A" w:rsidP="0049630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3A16CF">
        <w:rPr>
          <w:rFonts w:ascii="Garamond" w:hAnsi="Garamond"/>
          <w:color w:val="000000"/>
          <w:sz w:val="24"/>
          <w:szCs w:val="24"/>
        </w:rPr>
        <w:lastRenderedPageBreak/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b/>
          <w:sz w:val="24"/>
          <w:szCs w:val="24"/>
          <w:lang w:eastAsia="pt-BR"/>
        </w:rPr>
        <w:t xml:space="preserve">OS FATOS 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A autora é empresa que atua no ramo </w:t>
      </w:r>
      <w:r w:rsidR="0049630A" w:rsidRPr="003A16CF">
        <w:rPr>
          <w:rFonts w:ascii="Garamond" w:eastAsia="Times New Roman" w:hAnsi="Garamond" w:cs="Tahoma"/>
          <w:sz w:val="24"/>
          <w:szCs w:val="24"/>
          <w:lang w:eastAsia="pt-BR"/>
        </w:rPr>
        <w:t>xxxxxxxxx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Fornece aos seus funcionários, habitualmente, alimentação diária no refeitório da empresa. Em 1988, inscreveu-se no PAT (Programa de Alimentação do Trabalhador) instituído pela Lei 6.321/76, com a finalidade de usufruir do benefício ali descrito, </w:t>
      </w:r>
      <w:proofErr w:type="spell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verbis</w:t>
      </w:r>
      <w:proofErr w:type="spell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: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"Art. 1º As pessoas jurídicas poderão deduzir, do lucro tributável para fins de Imposto de Renda, o dobro das despesas comprovadamente realizadas no período-base, em programas de alimentação do trabalhador, previamente aprovados pelo Ministério do Trabalho na forma em que dispuser o regulamento desta Lei."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Este programa, enfim, visa incentivar as empresas com benefícios fiscais (deduções no IRPJ) para fornecimento de alimentação aos seus funcionários.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Devido à inscrição no programa, portanto, a autora começou a usufruir de seus efeitos relativos ao Imposto de Renda e, mais ainda, desconsiderava a parcela despedida com alimentação do salário de contribuição dos funcionários, já que a alimentação ali fornecida, no caso, não podia ser tratada como prestação "in natura".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Ou seja, a alimentação fornecida nos moldes do Programa não tem natureza salarial não podendo ser considerada salário de contribuição "in natura", como se demonstrará a seguir.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proofErr w:type="gram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Ocorre porém</w:t>
      </w:r>
      <w:proofErr w:type="gram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que, em .... foi autuada pela fiscalização do INSS em ...., que lhe constituiu crédito previdenciário relativo </w:t>
      </w:r>
      <w:proofErr w:type="gram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à</w:t>
      </w:r>
      <w:proofErr w:type="gram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débito complementar referente a "salário in natura" no período de .... a ....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Na esfera administrativa, a autora tentou desconstituir, sem êxito, tal lançamento fiscal por meio de defesa e recurso administrativo. Em todas as ocasiões, sua pretensão foi repelida porque supostamente não estava inscrita no PAT e, portanto, não poderia usufruir de suas prerrogativas.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Em </w:t>
      </w:r>
      <w:proofErr w:type="spell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conseqüência</w:t>
      </w:r>
      <w:proofErr w:type="spell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, foi notificada, em ...., da Decisão proferida pelo Conselho de Recursos da Previdência Social (CRPS), que lhe negou provimento ao recurso interposto e deu-lhe prazo para recolhimento do débito (doc. anexo).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Tal decisão baseou-se nos seguintes termos, </w:t>
      </w:r>
      <w:proofErr w:type="spell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verbis</w:t>
      </w:r>
      <w:proofErr w:type="spell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: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"... CONSIDERANDO que para a empresa ser beneficiada pelo programa de alimentação do trabalhador, tem que obrigatoriamente estar amparada pela Lei nº 6.321/76;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CONSIDERANDO que a empresa apresentou sua inscrição ao Programa de Alimentação referente ao ano de 1988, sem, entretanto, ter exibido a devida renovação para o ano de 1989, diante de tal fato o débito foi retificado;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CONSIDERANDO o que está disposto no art. 41, parágrafo 1º alínea "c" do RCPS - Decreto 83.081/79, alterado pelo Decreto nº 90817/85;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CONCLUSÃO - Diante do exposto - voto no sentido de conhecer do recurso, para, no mérito, negar-lhe provimento, mantendo o débito retificado."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Tendo em vista a cobrança judicial de tal débito, conforme a parte final da decisão acima, e considerando a ilegalidade e a arbitrariedade de sua exigência, vem no momento a autora buscar a via ordinária para anular o lançamento e desconstituir o crédito tributário.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O requerido, repita-se, entende que a autora não estava inscrita no PAT no período de .... a ...., não podendo proceder conforme suas regras os descontos da alimentação dos trabalhadores.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Ora, como insistentemente afirmado em sede administrativa, não existe nenhuma base jurídica que dê consistência aos argumentos invocados pelo requerido de molde a que possa subsistir o lançamento efetuado. Isto porque, a Lei nº 6.321/76 nada menciona acerca de eventuais renovações e inscrições colocadas como requisito para a utilização do Programa.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Na verdade, o lançamento relativo ao ano de .... permaneceu única e exclusivamente porque a empresa deixou de renovar este mero requisito formal exigido pelo INSS, ou seja, ainda que procedendo conforme as regras do PAT, deixou de renová-lo, no ano de ....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Por causa dessa mera formalidade, a interpretação do requerido foi no sentido de manter o lançamento ora discutido e não levar em consideração o fato da empresa estar efetivamente inscrita no PAT desde ....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Conclui-se, portanto, que o lançamento é fruto de entendimento subjetivo e de interpretação equivocada de preceitos legais, quer do Direito do Trabalho, quer da própria legislação previdenciária. Isto, portanto, é o fulcro da presente ação, ou seja, o requerido, ao concretizar a cobrança do crédito tributário fruto de lançamento irregular e arbitrário, está inegavelmente a ameaçar o patrimônio da autora que poderá ser compelida a pagar o que não deve.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O lançamento foi omisso em pontos relevantes e limitado, em seu relatório, a meros cálculos, sem apontar quais os fatos concretos que geraram </w:t>
      </w:r>
      <w:proofErr w:type="gram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a  convicção</w:t>
      </w:r>
      <w:proofErr w:type="gram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de débito suplementar, principalmente no tocante a relação dos empregados tidos como sujeitos do benefício chamado salário "in natura". O "débito suplementar" em nenhum momento foi realmente demonstrado na sede administrativa.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Este fato inegavelmente caracteriza a insubsistência do lançamento, uma vez que o único argumento utilizado pelo requerido é o de que a autora não tinha a inscrição relativa do ano de .... Entretanto, a autora apenas deixou de respeitar uma única formalidade que por sua vez mostrava-se absolutamente sanável no momento da lavratura do auto de infração. Ou melhor, no momento de apuração do suposto débito da autora, poderia o requerido verificar e comparar as demonstrações dos descontos previdenciários da empresa sem ter que proceder a uma autuação, daí porque conclui-se a arbitrariedade e a inconsistência do lançamento levado a efeito.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A empresa está amparada pelo Programa de Alimentação do Trabalhador e, contudo, sua única irregularidade foi o de não renovar a inscrição ainda que tenha permanecido a proceder conforme as regras da Lei 6.321/76.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Somente por causa dessa falta de renovação que, saliente-se, sequer está prevista na Lei nº 6.321/76, a empresa autora foi autuada e deverá recolher aos cofres do INSS valores aleatoriamente lançados pelo requerido. Os agentes da fiscalização, no momento da lavratura do auto de infração, travestiram-se de agentes punitivos visando unicamente aplicar a multa, sem questionar a fundo sua procedência. Poderiam os fiscais, naquele momento, verificar de maneira correta a folha de pagamento e os respectivos descontos para comprovar a regularidade das contas sujeitas ao PAT e a falta de renovação da empresa junto à agência do INSS em ....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Entretanto, a falta de renovação da inscrição no PAT (altamente sanável por ser mera formalidade) fez com que os descontos procedidos pela autora fossem considerados salário "in natura".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Em suma, a autora foi altamente penalizada apenas por não ter renovado sua inscrição anual. O requerido, ao invés de sanar irregularidades e orientar o contribuinte, funcionou, no caso, como agente </w:t>
      </w:r>
      <w:proofErr w:type="spell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arrecador</w:t>
      </w:r>
      <w:proofErr w:type="spell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imune a maiores reflexões acerca de suas reais atribuições.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b/>
          <w:sz w:val="24"/>
          <w:szCs w:val="24"/>
          <w:lang w:eastAsia="pt-BR"/>
        </w:rPr>
        <w:t>SALÁRIO "IN NATURA"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Tendo em vista as considerações acima, se faz necessária uma definição do salário "in natura" com o fim de demonstrar a insubsistência do lançamento em questão.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Em nosso Direito, por força das disposições constantes do artigo 458, da Consolidação das Leis do Trabalho, "além do pagamento em dinheiro, compreende-se no salário, para todos os efeitos legais, a alimentação, habitação, vestuário e outras prestações "in natura" que a empresa, por força do contrato de trabalho ou do costume, fornecer habitualmente ao empregado".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A interpretação emprestada pelo requerido à luz da disposição acima mencionada, não retratou o espírito inserto no mencionado mandamento legal pelo legislador, para a caracterização do salário "in natura". Máxime quando a empresa efetivamente procedia conforme as regras do PAT.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O divisor natural para a caracterização do salário "in natura", para fins de contribuição previdenciária reside na existência de expresso ajuste acerca do fornecimento da utilidade, que se busca identificar como tal.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Ensina ALUYSIO SAMPAIO (Dicionário de Direito Individual do Trabalho, </w:t>
      </w:r>
      <w:proofErr w:type="spell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Ltr</w:t>
      </w:r>
      <w:proofErr w:type="spell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., p. 244), salário "in natura" é a parte do salário paga em utilidades.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Para JOSÉ SERSON (Curso de Rotinas Trabalhistas, Editora Revista dos Tribunais, 27 ª Edição, p. 300) se a alimentação é cobrada, ela da parte de um contrato paralelo ao de trabalho de fornecimento de alimentação. E NÃO TEM EFEITO SALARIAL, MESMO QUE A EMPRESA VENDA ABAIXO DO CUSTO.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Dos ensinamentos de OTÁVIO BUENO MAGANO (Manual de Direito do Trabalho, vol. II, p. 187), extraímos que "salário em utilidade é a prestação "in natura" que o empregador, por força do contrato ou do costume, atribuiu ao empregado, em retribuição dos serviços por este prestado. Constitui, portanto, modalidade de remuneração paralela ao salário pago em dinheiro."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Do posicionamento doutrinário, construído a partir da interpretação do art. 458 e seus parágrafos, da Consolidação, temos que somente quando a utilidade alimentação é fornecida gratuitamente e como complemento do pagamento em dinheiro e por força do contrato de trabalho ou do costume, é que se dará a integração ao salário.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Afora estas hipóteses, o fornecimento de utilidade não integra o salário para qualquer efeito, em especial, quanto às contribuições previdenciária, que é a hipótese em tela.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No âmbito jurisprudencial, encontramos os seguintes julgados: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"Não constituiu o salário "in natura" a ajuda de alimentação concedida através do programa de alimentação do trabalhador, pois tal programa visa a incentivar com benefícios fiscais às empresas para o fornecimento de alimentação ao trabalhador." (TRT - 1ª. Região, acórdão unânime da 3ª Turma - Recurso Ordinário de nº 12138/89 - Relator Juiz Luiz C. de Brito - DJRJ de 16.04.91, p. 145)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"O fornecimento de tickets de refeição integra o programa de alimentação do trabalhador, instituído pela Lei nº 6.321/76, não podendo ser considerada como parcela "in natura" integrativa de remuneração, o mesmo ocorrendo como subsídio total ou de parte da contribuição para a empresa de assistência médica." (TRT da 3ª Região, acórdão unânime da 2ª Turma, Relator Juiz José </w:t>
      </w:r>
      <w:proofErr w:type="spell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Gaetani</w:t>
      </w:r>
      <w:proofErr w:type="spell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- DJMG de 19.07.91, p. 49).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"SALÁRIO - UTILIDADE- ALIMENTAÇÃO - LEI Nº 6.321/76 - NÃO CARACTERIZAÇÃO.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Salário "in natura". A alimentação fornecida ao trabalhador em atendimento à Lei 6.321/76 (Programa de Alimentação), não tem caráter salarial, não constituindo, assim, salário "in natura". Embargos conhecidos e acolhidos." (Acórdão unânime da SEDI do TST no ERR nº 4795/89.1 - 1ª Região - Relator Min. Hélio Regato, Julgado em 25.02.92, DJU de 08.05.92, p. 6326).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 xml:space="preserve"> Com isso, está claro que o enquadramento legal do auto de infração está equivocado já que </w:t>
      </w:r>
      <w:proofErr w:type="gramStart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utilizou-se</w:t>
      </w:r>
      <w:proofErr w:type="gramEnd"/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de uma simples irregularidade, facilmente sanável, para efetivar lançamento com base em interpretação equivocada acerca da Lei que instituiu o PAT.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Veja-se que o art. 41, I do RCPS, determina que deve ser entendido por salário-de-contribuição a remuneração efetivamente recebida a qualquer título.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Na hipótese vertente, os empregados NADA RECEBERAM; AO CONTRÁRIO: TIVERAM DESCONTADOS DE SEUS SALÁRIOS O VALOR DA ALIMENTAÇÃO. O caso em exame reproduz, fielmente, a controvérsia dirimida pelo Egrégio Tribunal Superior do Trabalho reproduzida acima.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Em síntese, pode-se enumerar as seguintes conclusões: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Não se caracteriza o salário "in natura", tal como definido no art. 458, da CLT, o que afasta de plano os pretendidos reflexos previdenciários;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Há o errôneo enquadramento legal por parte do agente fiscalizador, na medida em que a empresa procedia conforme as regras estabelecidas pela Lei que instituiu o PAT, porém, deixou de renovar sua inscrição no ano de ...., fato este altamente sanável pelo próprio requerido, o que torna desnecessária a autuação.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Ou seja, o procedimento adotado pela autora acima descrito além de não configurar o denominado salário "in natura", conforme a jurisprudência acima elencada, da mesma forma, não configura infração passível de autuação por parte do requerido pelos motivos acima expostos.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Tudo isto constitui argumento decisivo e que pulveriza qualquer pretensão por parte da requerida, já que a autora possuía o Programa de Alimentação, nos moldes da Lei nº 6.321/76, conforme se pode ver dos anexos documentos desde .... até o presente ano.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Em suma, diante do exposto, conclui-se que o lançamento em questão não merece prosperar, devendo ser anulado, desconstituindo-se o crédito tributário dele decorrente.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b/>
          <w:sz w:val="24"/>
          <w:szCs w:val="24"/>
          <w:lang w:eastAsia="pt-BR"/>
        </w:rPr>
        <w:t>DO PEDIDO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 Sendo assim, tendo em vista as alegações despendidas, requer: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a) A citação do requerido, na pessoa de seu representante para que, querendo, conteste os termos da presente ação.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b) Contestada ou não seja a presente ação julgada procedente para o fim de se anular o lançamento NFLD nº ...., condenando-se o requerido nas custas processuais e honorários de advogado.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>c) Caso necessário, a produção de provas testemunhal, documental e pericial.</w:t>
      </w: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A503A" w:rsidRPr="003A16CF" w:rsidRDefault="000A503A" w:rsidP="000A503A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3A16CF">
        <w:rPr>
          <w:rFonts w:ascii="Garamond" w:eastAsia="Times New Roman" w:hAnsi="Garamond" w:cs="Tahoma"/>
          <w:sz w:val="24"/>
          <w:szCs w:val="24"/>
          <w:lang w:eastAsia="pt-BR"/>
        </w:rPr>
        <w:t xml:space="preserve">Valor da causa: R$ .... </w:t>
      </w:r>
    </w:p>
    <w:p w:rsidR="0019577E" w:rsidRPr="003A16CF" w:rsidRDefault="0019577E" w:rsidP="0019577E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</w:rPr>
      </w:pPr>
      <w:r w:rsidRPr="003A16CF">
        <w:rPr>
          <w:rFonts w:ascii="Garamond" w:hAnsi="Garamond" w:cs="Tahoma"/>
        </w:rPr>
        <w:lastRenderedPageBreak/>
        <w:t xml:space="preserve">Nestes termos, </w:t>
      </w:r>
    </w:p>
    <w:p w:rsidR="0019577E" w:rsidRPr="003A16CF" w:rsidRDefault="0019577E" w:rsidP="0019577E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</w:rPr>
      </w:pPr>
      <w:r w:rsidRPr="003A16CF">
        <w:rPr>
          <w:rFonts w:ascii="Garamond" w:hAnsi="Garamond" w:cs="Tahoma"/>
        </w:rPr>
        <w:t>pede e espera deferimento.</w:t>
      </w:r>
    </w:p>
    <w:p w:rsidR="0019577E" w:rsidRPr="003A16CF" w:rsidRDefault="0019577E" w:rsidP="0019577E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</w:rPr>
      </w:pPr>
      <w:r w:rsidRPr="003A16CF">
        <w:rPr>
          <w:rFonts w:ascii="Garamond" w:hAnsi="Garamond" w:cs="Tahoma"/>
        </w:rPr>
        <w:t>... (Município – UF), ... (dia) de ... (mês) de ... (ano).</w:t>
      </w:r>
    </w:p>
    <w:p w:rsidR="0019577E" w:rsidRPr="003A16CF" w:rsidRDefault="0019577E" w:rsidP="0019577E">
      <w:pPr>
        <w:shd w:val="clear" w:color="auto" w:fill="FFFFFF"/>
        <w:spacing w:line="360" w:lineRule="auto"/>
        <w:jc w:val="both"/>
        <w:rPr>
          <w:rFonts w:ascii="Garamond" w:hAnsi="Garamond" w:cs="Tahoma"/>
          <w:sz w:val="24"/>
          <w:szCs w:val="24"/>
          <w:lang w:eastAsia="pt-BR"/>
        </w:rPr>
      </w:pPr>
    </w:p>
    <w:p w:rsidR="0019577E" w:rsidRPr="003A16CF" w:rsidRDefault="0019577E" w:rsidP="0019577E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A16CF">
        <w:rPr>
          <w:rFonts w:ascii="Garamond" w:hAnsi="Garamond" w:cs="Tahoma"/>
          <w:b/>
          <w:sz w:val="24"/>
          <w:szCs w:val="24"/>
        </w:rPr>
        <w:t>ADVOGADO</w:t>
      </w:r>
    </w:p>
    <w:p w:rsidR="0019577E" w:rsidRPr="003A16CF" w:rsidRDefault="0019577E" w:rsidP="0019577E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A16CF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19577E" w:rsidRPr="003A16CF" w:rsidRDefault="0019577E" w:rsidP="0019577E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bookmarkEnd w:id="2"/>
    <w:p w:rsidR="00B97B4B" w:rsidRPr="003A16CF" w:rsidRDefault="00B97B4B">
      <w:pPr>
        <w:rPr>
          <w:rFonts w:ascii="Garamond" w:hAnsi="Garamond" w:cs="Tahoma"/>
          <w:sz w:val="24"/>
          <w:szCs w:val="24"/>
        </w:rPr>
      </w:pPr>
    </w:p>
    <w:sectPr w:rsidR="00B97B4B" w:rsidRPr="003A1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7E"/>
    <w:rsid w:val="000A503A"/>
    <w:rsid w:val="0019577E"/>
    <w:rsid w:val="003A16CF"/>
    <w:rsid w:val="00401803"/>
    <w:rsid w:val="0049630A"/>
    <w:rsid w:val="00AC3F9C"/>
    <w:rsid w:val="00B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0317"/>
  <w15:chartTrackingRefBased/>
  <w15:docId w15:val="{0820299E-D2B2-46D7-B6C4-6BC705D3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2469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Neto</cp:lastModifiedBy>
  <cp:revision>4</cp:revision>
  <dcterms:created xsi:type="dcterms:W3CDTF">2017-05-25T18:29:00Z</dcterms:created>
  <dcterms:modified xsi:type="dcterms:W3CDTF">2019-06-06T22:01:00Z</dcterms:modified>
</cp:coreProperties>
</file>