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0E" w:rsidRPr="009D3A0B" w:rsidRDefault="008D280E" w:rsidP="009D3A0B">
      <w:pPr>
        <w:shd w:val="clear" w:color="auto" w:fill="FFFFFF"/>
        <w:spacing w:after="300" w:line="360" w:lineRule="auto"/>
        <w:jc w:val="center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  <w:bookmarkStart w:id="0" w:name="__DdeLink__6166_752773848"/>
      <w:bookmarkEnd w:id="0"/>
      <w:r w:rsidRP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EXCELENTÍSSIMO </w:t>
      </w:r>
      <w:r w:rsid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JUÍZO</w:t>
      </w:r>
      <w:r w:rsidRP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 DA .</w:t>
      </w:r>
      <w:r w:rsid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___ª</w:t>
      </w:r>
      <w:r w:rsidRP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 VARA CÍVEL </w:t>
      </w:r>
      <w:r w:rsidRPr="009D3A0B"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 xml:space="preserve">DA COMARCA DE </w:t>
      </w:r>
      <w:r w:rsidR="009D3A0B"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>________</w:t>
      </w:r>
      <w:r w:rsidRPr="009D3A0B"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>-ESTADO</w:t>
      </w:r>
      <w:r w:rsidR="009D3A0B"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 xml:space="preserve"> DE _______</w:t>
      </w:r>
    </w:p>
    <w:p w:rsidR="008D280E" w:rsidRPr="009D3A0B" w:rsidRDefault="008D280E" w:rsidP="009D3A0B">
      <w:pPr>
        <w:widowControl w:val="0"/>
        <w:spacing w:before="136" w:after="0" w:line="360" w:lineRule="auto"/>
        <w:jc w:val="both"/>
        <w:outlineLvl w:val="1"/>
        <w:rPr>
          <w:rFonts w:ascii="Garamond" w:eastAsia="Arial" w:hAnsi="Garamond" w:cs="Tahoma"/>
          <w:bCs/>
          <w:color w:val="000000" w:themeColor="text1"/>
          <w:sz w:val="24"/>
          <w:szCs w:val="24"/>
        </w:rPr>
      </w:pPr>
    </w:p>
    <w:p w:rsidR="008D280E" w:rsidRPr="009D3A0B" w:rsidRDefault="008D280E" w:rsidP="009D3A0B">
      <w:pPr>
        <w:widowControl w:val="0"/>
        <w:spacing w:before="136" w:after="0" w:line="360" w:lineRule="auto"/>
        <w:jc w:val="both"/>
        <w:outlineLvl w:val="1"/>
        <w:rPr>
          <w:rFonts w:ascii="Garamond" w:eastAsia="Arial" w:hAnsi="Garamond" w:cs="Tahoma"/>
          <w:bCs/>
          <w:color w:val="000000" w:themeColor="text1"/>
          <w:sz w:val="24"/>
          <w:szCs w:val="24"/>
        </w:rPr>
      </w:pPr>
    </w:p>
    <w:p w:rsidR="008D280E" w:rsidRPr="009D3A0B" w:rsidRDefault="008D280E" w:rsidP="009D3A0B">
      <w:pPr>
        <w:widowControl w:val="0"/>
        <w:spacing w:before="136" w:after="0" w:line="360" w:lineRule="auto"/>
        <w:jc w:val="both"/>
        <w:outlineLvl w:val="1"/>
        <w:rPr>
          <w:rFonts w:ascii="Garamond" w:eastAsia="Arial" w:hAnsi="Garamond" w:cs="Tahoma"/>
          <w:bCs/>
          <w:color w:val="000000" w:themeColor="text1"/>
          <w:sz w:val="24"/>
          <w:szCs w:val="24"/>
        </w:rPr>
      </w:pPr>
    </w:p>
    <w:p w:rsidR="008D280E" w:rsidRPr="009D3A0B" w:rsidRDefault="009D3A0B" w:rsidP="009D3A0B">
      <w:pPr>
        <w:shd w:val="clear" w:color="auto" w:fill="FFFFFF"/>
        <w:spacing w:before="240" w:after="0" w:line="360" w:lineRule="auto"/>
        <w:jc w:val="both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  <w:r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>_________</w:t>
      </w:r>
      <w:proofErr w:type="spellStart"/>
      <w:r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>QUALIFICAÇão</w:t>
      </w:r>
      <w:proofErr w:type="spellEnd"/>
      <w:r>
        <w:rPr>
          <w:rFonts w:ascii="Garamond" w:eastAsia="Times New Roman" w:hAnsi="Garamond" w:cs="Tahoma"/>
          <w:b/>
          <w:bCs/>
          <w:color w:val="000000" w:themeColor="text1"/>
          <w:spacing w:val="2"/>
          <w:sz w:val="24"/>
          <w:szCs w:val="24"/>
          <w:lang w:eastAsia="pt-BR"/>
        </w:rPr>
        <w:t xml:space="preserve"> completa</w:t>
      </w:r>
      <w:r w:rsidR="008D280E" w:rsidRPr="009D3A0B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, vem respeitosamente perante a Vossa Excelência propor:</w:t>
      </w:r>
    </w:p>
    <w:p w:rsidR="008D280E" w:rsidRPr="009D3A0B" w:rsidRDefault="008D280E" w:rsidP="009D3A0B">
      <w:pPr>
        <w:shd w:val="clear" w:color="auto" w:fill="FFFFFF"/>
        <w:spacing w:before="240" w:after="0" w:line="360" w:lineRule="auto"/>
        <w:jc w:val="both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</w:p>
    <w:p w:rsidR="008D280E" w:rsidRPr="009D3A0B" w:rsidRDefault="008D280E" w:rsidP="009D3A0B">
      <w:pPr>
        <w:shd w:val="clear" w:color="auto" w:fill="FFFFFF"/>
        <w:spacing w:line="360" w:lineRule="auto"/>
        <w:jc w:val="center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EXECUÇÃO</w:t>
      </w:r>
      <w:r w:rsidR="00CD7FC4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 DE </w:t>
      </w:r>
      <w:bookmarkStart w:id="1" w:name="_GoBack"/>
      <w:bookmarkEnd w:id="1"/>
      <w:r w:rsidRP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TÍTULO EXTRAJUDICIAL</w:t>
      </w:r>
    </w:p>
    <w:p w:rsidR="008D280E" w:rsidRPr="009D3A0B" w:rsidRDefault="008D280E" w:rsidP="009D3A0B">
      <w:pPr>
        <w:shd w:val="clear" w:color="auto" w:fill="FFFFFF"/>
        <w:spacing w:line="360" w:lineRule="auto"/>
        <w:jc w:val="center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</w:p>
    <w:p w:rsidR="008D280E" w:rsidRPr="009D3A0B" w:rsidRDefault="008D280E" w:rsidP="009D3A0B">
      <w:pPr>
        <w:spacing w:line="360" w:lineRule="auto"/>
        <w:jc w:val="both"/>
        <w:rPr>
          <w:rFonts w:ascii="Garamond" w:eastAsia="Calibri" w:hAnsi="Garamond" w:cs="Tahoma"/>
          <w:color w:val="000000" w:themeColor="text1"/>
          <w:sz w:val="24"/>
          <w:szCs w:val="24"/>
        </w:rPr>
      </w:pPr>
      <w:r w:rsidRPr="009D3A0B">
        <w:rPr>
          <w:rFonts w:ascii="Garamond" w:eastAsia="Calibri" w:hAnsi="Garamond" w:cs="Tahoma"/>
          <w:color w:val="000000" w:themeColor="text1"/>
          <w:sz w:val="24"/>
          <w:szCs w:val="24"/>
        </w:rPr>
        <w:t xml:space="preserve">Em face de ... </w:t>
      </w:r>
      <w:r w:rsidRPr="009D3A0B">
        <w:rPr>
          <w:rFonts w:ascii="Garamond" w:eastAsia="Calibri" w:hAnsi="Garamond" w:cs="Tahoma"/>
          <w:b/>
          <w:bCs/>
          <w:color w:val="000000" w:themeColor="text1"/>
          <w:sz w:val="24"/>
          <w:szCs w:val="24"/>
        </w:rPr>
        <w:t>(nome completo em negrito do réu)</w:t>
      </w:r>
      <w:r w:rsidRPr="009D3A0B">
        <w:rPr>
          <w:rFonts w:ascii="Garamond" w:eastAsia="Calibri" w:hAnsi="Garamond" w:cs="Tahoma"/>
          <w:color w:val="000000" w:themeColor="text1"/>
          <w:sz w:val="24"/>
          <w:szCs w:val="24"/>
        </w:rPr>
        <w:t>, ... (nacionalidade), ... (estado civil), ... (profissão), portador do CPF/MF nº ..., com Documento de Identidade de n° ..., residente e domiciliado na Rua ..., n. ..., ... (bairro), CEP: ..., ... (Município – UF), pelos fatos e fundamentos a seguir aduzidos:</w:t>
      </w:r>
    </w:p>
    <w:p w:rsidR="008D280E" w:rsidRPr="009D3A0B" w:rsidRDefault="008D280E" w:rsidP="009D3A0B">
      <w:pPr>
        <w:spacing w:line="360" w:lineRule="auto"/>
        <w:jc w:val="both"/>
        <w:rPr>
          <w:rFonts w:ascii="Garamond" w:eastAsia="Calibri" w:hAnsi="Garamond" w:cs="Tahoma"/>
          <w:color w:val="000000" w:themeColor="text1"/>
          <w:sz w:val="24"/>
          <w:szCs w:val="24"/>
        </w:rPr>
      </w:pPr>
    </w:p>
    <w:p w:rsidR="000E7806" w:rsidRPr="009D3A0B" w:rsidRDefault="000E7806" w:rsidP="009D3A0B">
      <w:pPr>
        <w:shd w:val="clear" w:color="auto" w:fill="FFFFFF"/>
        <w:spacing w:line="360" w:lineRule="auto"/>
        <w:jc w:val="center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EXECUÇÃO POR TÍTULO EXTRAJUDICIAL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1. Através do Contrato de Prestação de Serviços Jurídicos firmado em 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 (data)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os exequentes, na qualidade profissional de advogados, foram contratados pelo executado para prestar os serviços jurídicos consistentes na defesa processual nos autos de n. 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 (indicar o processo ou serviço</w:t>
      </w:r>
      <w:r w:rsidR="00B835DD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realizado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2. Pelos serviços contratados o executado teria de pagar ao exequente o valor de R$ 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(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reais) a serem pagos em duas parcelas, sendo a última, no dia 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 (informar a data do vencimento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sendo que até presente data nenhum valor foi repassado aos exequentes.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5. Nada obstante, </w:t>
      </w:r>
      <w:r w:rsidR="001026D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executad</w:t>
      </w:r>
      <w:r w:rsidR="001026D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nada pagou ao</w:t>
      </w:r>
      <w:r w:rsidR="001026D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exequente</w:t>
      </w:r>
      <w:r w:rsidR="001026D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pelos seus serviços prestados, descumprindo</w:t>
      </w:r>
      <w:r w:rsidR="001026D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o Contrato de Prestação de Serviços Jurídicos</w:t>
      </w:r>
      <w:r w:rsidR="00011D2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não demonstrou ou demonstra qualquer intenção de quitar sua dívida, mesmo com a insistência dos exequentes em chegar a um acordo, mas não obtivemos êxito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6. </w:t>
      </w:r>
      <w:r w:rsidRPr="009D3A0B">
        <w:rPr>
          <w:rFonts w:ascii="Garamond" w:eastAsia="Times New Roman" w:hAnsi="Garamond" w:cs="Tahoma"/>
          <w:i/>
          <w:iCs/>
          <w:color w:val="000000" w:themeColor="text1"/>
          <w:sz w:val="24"/>
          <w:szCs w:val="24"/>
          <w:lang w:eastAsia="pt-BR"/>
        </w:rPr>
        <w:t>Ex positis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o exequente REQUER: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a) a citação do executado, via mandado, para pagar no prazo de 3 (três) dias</w:t>
      </w:r>
      <w:r w:rsidR="001026D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</w:t>
      </w: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o principal, juros de mora, atualização monetária, custas, despesas processuais e honorários advocatícios, sob pena de ser efetuada penhora em bens encontrados e tidos como suficientes para garantia do juízo, o que se pede nos termos do art. </w:t>
      </w:r>
      <w:hyperlink r:id="rId6" w:tooltip="Artigo 659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659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 do </w:t>
      </w:r>
      <w:hyperlink r:id="rId7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observando-se o art. </w:t>
      </w:r>
      <w:hyperlink r:id="rId8" w:tooltip="Artigo 655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655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 do </w:t>
      </w:r>
      <w:hyperlink r:id="rId9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advertindo-se o executado que em caso de pronto pagamento terá o benefício de pagar metade da verba honorária (parágrafo único do art. 652-A do </w:t>
      </w:r>
      <w:hyperlink r:id="rId10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).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b) feita a penhora seja o suplicado intimado da mesma para opor, querendo, embargos, no prazo de 15 (quinze) dias (</w:t>
      </w:r>
      <w:hyperlink r:id="rId11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 art. </w:t>
      </w:r>
      <w:hyperlink r:id="rId12" w:tooltip="Artigo 738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738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), contados da citação, bem como, sendo o caso, de seu cônjuge (</w:t>
      </w:r>
      <w:hyperlink r:id="rId13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 art. </w:t>
      </w:r>
      <w:hyperlink r:id="rId14" w:tooltip="Artigo 655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655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 </w:t>
      </w:r>
      <w:hyperlink r:id="rId15" w:tooltip="Parágrafo 2 Artigo 655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§ 2º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);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c) efetuada a penhora em bens imóveis seja expedida certidão para registro no Cartório de Registro de Imóveis (</w:t>
      </w:r>
      <w:hyperlink r:id="rId16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art. </w:t>
      </w:r>
      <w:hyperlink r:id="rId17" w:tooltip="Artigo 659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659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 </w:t>
      </w:r>
      <w:hyperlink r:id="rId18" w:tooltip="Parágrafo 4 Artigo 659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§ 4º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 do </w:t>
      </w:r>
      <w:hyperlink r:id="rId19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);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d) no caso de não ser encontrado o executado, ou em caso deste tentar frustrar-se-á execução, que lhe sejam arrestados bens suficientes (</w:t>
      </w:r>
      <w:hyperlink r:id="rId20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art. </w:t>
      </w:r>
      <w:hyperlink r:id="rId21" w:tooltip="Artigo 653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653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), independentemente de novo mandado, dando-se ciência ao </w:t>
      </w:r>
      <w:proofErr w:type="spellStart"/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exeqüente</w:t>
      </w:r>
      <w:proofErr w:type="spellEnd"/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para as providências previstas no art. </w:t>
      </w:r>
      <w:hyperlink r:id="rId22" w:tooltip="Artigo 654 da Lei nº 5.869 de 11 de Janeiro de 1973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654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 do </w:t>
      </w:r>
      <w:hyperlink r:id="rId23" w:tooltip="Lei no 5.869, de 11 de janeiro de 1973." w:history="1">
        <w:r w:rsidRPr="009D3A0B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CPC</w:t>
        </w:r>
      </w:hyperlink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;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e) a produção de provas documental, testemunhal, pericial e especialmente o depoimento pessoal do réu sob pena de confissão.</w:t>
      </w:r>
    </w:p>
    <w:p w:rsidR="000E7806" w:rsidRPr="009D3A0B" w:rsidRDefault="000E7806" w:rsidP="009D3A0B">
      <w:pPr>
        <w:shd w:val="clear" w:color="auto" w:fill="FFFFFF"/>
        <w:spacing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Valor da causa: R$ 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011D2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(</w:t>
      </w:r>
      <w:r w:rsidR="008D280E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="00011D22" w:rsidRPr="009D3A0B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reais)</w:t>
      </w:r>
    </w:p>
    <w:p w:rsidR="008D280E" w:rsidRPr="009D3A0B" w:rsidRDefault="008D280E" w:rsidP="009D3A0B">
      <w:pPr>
        <w:shd w:val="clear" w:color="auto" w:fill="FFFFFF"/>
        <w:spacing w:before="240" w:after="300" w:line="360" w:lineRule="auto"/>
        <w:jc w:val="both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 xml:space="preserve">Nestes termos, </w:t>
      </w:r>
    </w:p>
    <w:p w:rsidR="008D280E" w:rsidRPr="009D3A0B" w:rsidRDefault="008D280E" w:rsidP="009D3A0B">
      <w:pPr>
        <w:shd w:val="clear" w:color="auto" w:fill="FFFFFF"/>
        <w:spacing w:before="240" w:after="300" w:line="360" w:lineRule="auto"/>
        <w:jc w:val="both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pede e espera deferimento.</w:t>
      </w:r>
    </w:p>
    <w:p w:rsidR="008D280E" w:rsidRPr="009D3A0B" w:rsidRDefault="008D280E" w:rsidP="009D3A0B">
      <w:pPr>
        <w:shd w:val="clear" w:color="auto" w:fill="FFFFFF"/>
        <w:spacing w:before="240" w:after="300" w:line="360" w:lineRule="auto"/>
        <w:jc w:val="both"/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</w:pPr>
      <w:r w:rsidRPr="009D3A0B">
        <w:rPr>
          <w:rFonts w:ascii="Garamond" w:eastAsia="Times New Roman" w:hAnsi="Garamond" w:cs="Tahoma"/>
          <w:color w:val="000000" w:themeColor="text1"/>
          <w:spacing w:val="2"/>
          <w:sz w:val="24"/>
          <w:szCs w:val="24"/>
          <w:lang w:eastAsia="pt-BR"/>
        </w:rPr>
        <w:t>... (Município – UF), ... (dia) de ... (mês) de ... (ano).</w:t>
      </w:r>
    </w:p>
    <w:p w:rsidR="008D280E" w:rsidRPr="009D3A0B" w:rsidRDefault="008D280E" w:rsidP="009D3A0B">
      <w:pPr>
        <w:shd w:val="clear" w:color="auto" w:fill="FFFFFF"/>
        <w:spacing w:line="360" w:lineRule="auto"/>
        <w:jc w:val="both"/>
        <w:rPr>
          <w:rFonts w:ascii="Garamond" w:eastAsia="Calibri" w:hAnsi="Garamond" w:cs="Arial"/>
          <w:color w:val="000000" w:themeColor="text1"/>
          <w:sz w:val="24"/>
          <w:szCs w:val="24"/>
          <w:lang w:eastAsia="pt-BR"/>
        </w:rPr>
      </w:pPr>
    </w:p>
    <w:p w:rsidR="008D280E" w:rsidRPr="009D3A0B" w:rsidRDefault="008D280E" w:rsidP="009D3A0B">
      <w:pPr>
        <w:spacing w:after="0" w:line="360" w:lineRule="auto"/>
        <w:ind w:left="1321" w:right="1281" w:hanging="10"/>
        <w:jc w:val="center"/>
        <w:rPr>
          <w:rFonts w:ascii="Garamond" w:eastAsia="Calibri" w:hAnsi="Garamond" w:cs="Tahoma"/>
          <w:color w:val="000000" w:themeColor="text1"/>
          <w:sz w:val="24"/>
          <w:szCs w:val="24"/>
        </w:rPr>
      </w:pPr>
      <w:r w:rsidRPr="009D3A0B">
        <w:rPr>
          <w:rFonts w:ascii="Garamond" w:eastAsia="Calibri" w:hAnsi="Garamond" w:cs="Tahoma"/>
          <w:b/>
          <w:color w:val="000000" w:themeColor="text1"/>
          <w:sz w:val="24"/>
          <w:szCs w:val="24"/>
        </w:rPr>
        <w:t>ADVOGADO</w:t>
      </w:r>
    </w:p>
    <w:p w:rsidR="008D280E" w:rsidRPr="009D3A0B" w:rsidRDefault="008D280E" w:rsidP="009D3A0B">
      <w:pPr>
        <w:spacing w:after="0" w:line="360" w:lineRule="auto"/>
        <w:ind w:left="1321" w:right="1281" w:hanging="10"/>
        <w:jc w:val="center"/>
        <w:rPr>
          <w:rFonts w:ascii="Garamond" w:eastAsia="Calibri" w:hAnsi="Garamond" w:cs="Tahoma"/>
          <w:color w:val="000000" w:themeColor="text1"/>
          <w:sz w:val="24"/>
          <w:szCs w:val="24"/>
        </w:rPr>
      </w:pPr>
      <w:r w:rsidRPr="009D3A0B">
        <w:rPr>
          <w:rFonts w:ascii="Garamond" w:eastAsia="Calibri" w:hAnsi="Garamond" w:cs="Tahoma"/>
          <w:color w:val="000000" w:themeColor="text1"/>
          <w:sz w:val="24"/>
          <w:szCs w:val="24"/>
        </w:rPr>
        <w:t>OAB n° .... - UF</w:t>
      </w:r>
    </w:p>
    <w:p w:rsidR="008D280E" w:rsidRPr="009D3A0B" w:rsidRDefault="008D280E" w:rsidP="009D3A0B">
      <w:pPr>
        <w:spacing w:after="0" w:line="360" w:lineRule="auto"/>
        <w:ind w:left="30"/>
        <w:jc w:val="center"/>
        <w:rPr>
          <w:rFonts w:ascii="Garamond" w:eastAsia="Calibri" w:hAnsi="Garamond" w:cs="Tahoma"/>
          <w:color w:val="000000" w:themeColor="text1"/>
          <w:sz w:val="24"/>
          <w:szCs w:val="24"/>
        </w:rPr>
      </w:pPr>
    </w:p>
    <w:p w:rsidR="00133D52" w:rsidRPr="009D3A0B" w:rsidRDefault="007762DF" w:rsidP="009D3A0B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133D52" w:rsidRPr="009D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2DF" w:rsidRDefault="007762DF" w:rsidP="00153109">
      <w:pPr>
        <w:spacing w:after="0" w:line="240" w:lineRule="auto"/>
      </w:pPr>
      <w:r>
        <w:separator/>
      </w:r>
    </w:p>
  </w:endnote>
  <w:endnote w:type="continuationSeparator" w:id="0">
    <w:p w:rsidR="007762DF" w:rsidRDefault="007762DF" w:rsidP="00153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2DF" w:rsidRDefault="007762DF" w:rsidP="00153109">
      <w:pPr>
        <w:spacing w:after="0" w:line="240" w:lineRule="auto"/>
      </w:pPr>
      <w:r>
        <w:separator/>
      </w:r>
    </w:p>
  </w:footnote>
  <w:footnote w:type="continuationSeparator" w:id="0">
    <w:p w:rsidR="007762DF" w:rsidRDefault="007762DF" w:rsidP="00153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06"/>
    <w:rsid w:val="00011D22"/>
    <w:rsid w:val="000E6678"/>
    <w:rsid w:val="000E7806"/>
    <w:rsid w:val="001026D2"/>
    <w:rsid w:val="001273F4"/>
    <w:rsid w:val="00153109"/>
    <w:rsid w:val="003E742F"/>
    <w:rsid w:val="004B75EA"/>
    <w:rsid w:val="007762DF"/>
    <w:rsid w:val="007C2E4B"/>
    <w:rsid w:val="007D65EA"/>
    <w:rsid w:val="008D280E"/>
    <w:rsid w:val="009D3A0B"/>
    <w:rsid w:val="00A52672"/>
    <w:rsid w:val="00B835DD"/>
    <w:rsid w:val="00C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BEE76"/>
  <w15:docId w15:val="{D597DEA5-790C-46A9-BA56-1886BBE3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E7806"/>
  </w:style>
  <w:style w:type="character" w:styleId="Hyperlink">
    <w:name w:val="Hyperlink"/>
    <w:basedOn w:val="Fontepargpadro"/>
    <w:uiPriority w:val="99"/>
    <w:semiHidden/>
    <w:unhideWhenUsed/>
    <w:rsid w:val="000E78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E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109"/>
  </w:style>
  <w:style w:type="paragraph" w:styleId="Rodap">
    <w:name w:val="footer"/>
    <w:basedOn w:val="Normal"/>
    <w:link w:val="RodapChar"/>
    <w:uiPriority w:val="99"/>
    <w:unhideWhenUsed/>
    <w:rsid w:val="00153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/topicos/10662240/artigo-655-da-lei-n-5869-de-11-de-janeiro-de-1973" TargetMode="External"/><Relationship Id="rId13" Type="http://schemas.openxmlformats.org/officeDocument/2006/relationships/hyperlink" Target="http://www.jusbrasil.com/legislacao/91735/c%C3%B3digo-processo-civil-lei-5869-73" TargetMode="External"/><Relationship Id="rId18" Type="http://schemas.openxmlformats.org/officeDocument/2006/relationships/hyperlink" Target="http://www.jusbrasil.com/topicos/10661306/par%C3%A1grafo-4-artigo-659-da-lei-n-5869-de-11-de-janeiro-de-19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/topicos/10663551/artigo-653-da-lei-n-5869-de-11-de-janeiro-de-1973" TargetMode="External"/><Relationship Id="rId7" Type="http://schemas.openxmlformats.org/officeDocument/2006/relationships/hyperlink" Target="http://www.jusbrasil.com/legislacao/91735/c%C3%B3digo-processo-civil-lei-5869-73" TargetMode="External"/><Relationship Id="rId12" Type="http://schemas.openxmlformats.org/officeDocument/2006/relationships/hyperlink" Target="http://www.jusbrasil.com/topicos/10650618/artigo-738-da-lei-n-5869-de-11-de-janeiro-de-1973" TargetMode="External"/><Relationship Id="rId17" Type="http://schemas.openxmlformats.org/officeDocument/2006/relationships/hyperlink" Target="http://www.jusbrasil.com/topicos/10661496/artigo-659-da-lei-n-5869-de-11-de-janeiro-de-1973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/legislacao/91735/c%C3%B3digo-processo-civil-lei-5869-73" TargetMode="External"/><Relationship Id="rId20" Type="http://schemas.openxmlformats.org/officeDocument/2006/relationships/hyperlink" Target="http://www.jusbrasil.com/legislacao/91735/c%C3%B3digo-processo-civil-lei-5869-7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/topicos/10661496/artigo-659-da-lei-n-5869-de-11-de-janeiro-de-1973" TargetMode="External"/><Relationship Id="rId11" Type="http://schemas.openxmlformats.org/officeDocument/2006/relationships/hyperlink" Target="http://www.jusbrasil.com/legislacao/91735/c%C3%B3digo-processo-civil-lei-5869-73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jusbrasil.com/topicos/10662367/par%C3%A1grafo-2-artigo-655-da-lei-n-5869-de-11-de-janeiro-de-1973" TargetMode="External"/><Relationship Id="rId23" Type="http://schemas.openxmlformats.org/officeDocument/2006/relationships/hyperlink" Target="http://www.jusbrasil.com/legislacao/91735/c%C3%B3digo-processo-civil-lei-5869-73" TargetMode="External"/><Relationship Id="rId10" Type="http://schemas.openxmlformats.org/officeDocument/2006/relationships/hyperlink" Target="http://www.jusbrasil.com/legislacao/91735/c%C3%B3digo-processo-civil-lei-5869-73" TargetMode="External"/><Relationship Id="rId19" Type="http://schemas.openxmlformats.org/officeDocument/2006/relationships/hyperlink" Target="http://www.jusbrasil.com/legislacao/91735/c%C3%B3digo-processo-civil-lei-5869-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jusbrasil.com/legislacao/91735/c%C3%B3digo-processo-civil-lei-5869-73" TargetMode="External"/><Relationship Id="rId14" Type="http://schemas.openxmlformats.org/officeDocument/2006/relationships/hyperlink" Target="http://www.jusbrasil.com/topicos/10662240/artigo-655-da-lei-n-5869-de-11-de-janeiro-de-1973" TargetMode="External"/><Relationship Id="rId22" Type="http://schemas.openxmlformats.org/officeDocument/2006/relationships/hyperlink" Target="http://www.jusbrasil.com/topicos/10663469/artigo-654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890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Francisco</dc:creator>
  <cp:lastModifiedBy>Microsoft Office User</cp:lastModifiedBy>
  <cp:revision>6</cp:revision>
  <dcterms:created xsi:type="dcterms:W3CDTF">2017-05-16T17:39:00Z</dcterms:created>
  <dcterms:modified xsi:type="dcterms:W3CDTF">2019-06-10T12:49:00Z</dcterms:modified>
</cp:coreProperties>
</file>