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B1F" w:rsidRPr="00D44C32" w:rsidRDefault="00DA7B1F" w:rsidP="00D44C32">
      <w:pPr>
        <w:spacing w:line="360" w:lineRule="auto"/>
        <w:jc w:val="both"/>
        <w:rPr>
          <w:rFonts w:ascii="Garamond" w:hAnsi="Garamond" w:cs="Tahoma"/>
          <w:b/>
          <w:color w:val="000000" w:themeColor="text1"/>
          <w:sz w:val="24"/>
          <w:szCs w:val="24"/>
        </w:rPr>
      </w:pPr>
      <w:r w:rsidRPr="00D44C32">
        <w:rPr>
          <w:rFonts w:ascii="Garamond" w:hAnsi="Garamond" w:cs="Tahoma"/>
          <w:b/>
          <w:color w:val="000000" w:themeColor="text1"/>
          <w:sz w:val="24"/>
          <w:szCs w:val="24"/>
        </w:rPr>
        <w:t xml:space="preserve">EXCELENTÍSSIMO SENHOR DOUTOR JUIZ DE DIREITO DA </w:t>
      </w:r>
      <w:r w:rsidR="00966DE7" w:rsidRPr="00D44C32">
        <w:rPr>
          <w:rFonts w:ascii="Garamond" w:hAnsi="Garamond" w:cs="Tahoma"/>
          <w:b/>
          <w:color w:val="000000" w:themeColor="text1"/>
          <w:sz w:val="24"/>
          <w:szCs w:val="24"/>
        </w:rPr>
        <w:t xml:space="preserve">... ° </w:t>
      </w:r>
      <w:r w:rsidRPr="00D44C32">
        <w:rPr>
          <w:rFonts w:ascii="Garamond" w:hAnsi="Garamond" w:cs="Tahoma"/>
          <w:b/>
          <w:color w:val="000000" w:themeColor="text1"/>
          <w:sz w:val="24"/>
          <w:szCs w:val="24"/>
        </w:rPr>
        <w:t xml:space="preserve">VARA CÍVEL DA COMARCA DE </w:t>
      </w:r>
      <w:r w:rsidR="00966DE7" w:rsidRPr="00D44C32">
        <w:rPr>
          <w:rFonts w:ascii="Garamond" w:hAnsi="Garamond" w:cs="Tahoma"/>
          <w:b/>
          <w:color w:val="000000" w:themeColor="text1"/>
          <w:sz w:val="24"/>
          <w:szCs w:val="24"/>
        </w:rPr>
        <w:t>... -</w:t>
      </w:r>
    </w:p>
    <w:p w:rsidR="00DA7B1F" w:rsidRPr="00D44C32" w:rsidRDefault="00DA7B1F" w:rsidP="00D44C32">
      <w:pPr>
        <w:spacing w:line="360" w:lineRule="auto"/>
        <w:jc w:val="both"/>
        <w:rPr>
          <w:rFonts w:ascii="Garamond" w:hAnsi="Garamond" w:cs="Tahoma"/>
          <w:color w:val="000000" w:themeColor="text1"/>
          <w:sz w:val="24"/>
          <w:szCs w:val="24"/>
        </w:rPr>
      </w:pPr>
    </w:p>
    <w:p w:rsidR="00DA7B1F" w:rsidRPr="00D44C32" w:rsidRDefault="00966DE7" w:rsidP="00D44C32">
      <w:pPr>
        <w:spacing w:line="360" w:lineRule="auto"/>
        <w:jc w:val="both"/>
        <w:rPr>
          <w:rFonts w:ascii="Garamond" w:hAnsi="Garamond" w:cs="Tahoma"/>
          <w:color w:val="000000" w:themeColor="text1"/>
          <w:sz w:val="24"/>
          <w:szCs w:val="24"/>
        </w:rPr>
      </w:pPr>
      <w:bookmarkStart w:id="0" w:name="_Hlk483585066"/>
      <w:bookmarkStart w:id="1" w:name="_Hlk483244742"/>
      <w:r w:rsidRPr="00D44C32">
        <w:rPr>
          <w:rFonts w:ascii="Garamond" w:hAnsi="Garamond" w:cs="Tahoma"/>
          <w:b/>
          <w:bCs/>
          <w:color w:val="000000" w:themeColor="text1"/>
          <w:sz w:val="24"/>
          <w:szCs w:val="24"/>
        </w:rPr>
        <w:t xml:space="preserve">... </w:t>
      </w:r>
      <w:bookmarkStart w:id="2" w:name="_Hlk483244763"/>
      <w:r w:rsidRPr="00D44C32">
        <w:rPr>
          <w:rFonts w:ascii="Garamond" w:hAnsi="Garamond" w:cs="Tahoma"/>
          <w:b/>
          <w:bCs/>
          <w:color w:val="000000" w:themeColor="text1"/>
          <w:sz w:val="24"/>
          <w:szCs w:val="24"/>
        </w:rPr>
        <w:t>(nome completo em negrito da parte)</w:t>
      </w:r>
      <w:bookmarkEnd w:id="0"/>
      <w:r w:rsidRPr="00D44C32">
        <w:rPr>
          <w:rFonts w:ascii="Garamond" w:hAnsi="Garamond" w:cs="Tahoma"/>
          <w:b/>
          <w:bCs/>
          <w:color w:val="000000" w:themeColor="text1"/>
          <w:sz w:val="24"/>
          <w:szCs w:val="24"/>
        </w:rPr>
        <w:t xml:space="preserve">, </w:t>
      </w:r>
      <w:r w:rsidRPr="00D44C32">
        <w:rPr>
          <w:rFonts w:ascii="Garamond" w:hAnsi="Garamond" w:cs="Tahoma"/>
          <w:bCs/>
          <w:color w:val="000000" w:themeColor="text1"/>
          <w:sz w:val="24"/>
          <w:szCs w:val="24"/>
        </w:rPr>
        <w:t xml:space="preserve">... (nacionalidade), ... (estado civil), ... (profissão), portador do CPF/MF nº ..., com Documento de Identidade de n° ..., residente e domiciliado na </w:t>
      </w:r>
      <w:bookmarkStart w:id="3" w:name="_Hlk482693071"/>
      <w:r w:rsidRPr="00D44C32">
        <w:rPr>
          <w:rFonts w:ascii="Garamond" w:hAnsi="Garamond" w:cs="Tahoma"/>
          <w:bCs/>
          <w:color w:val="000000" w:themeColor="text1"/>
          <w:sz w:val="24"/>
          <w:szCs w:val="24"/>
        </w:rPr>
        <w:t>Rua ..., n. ..., ... (bairro), CE</w:t>
      </w:r>
      <w:bookmarkEnd w:id="2"/>
      <w:r w:rsidRPr="00D44C32">
        <w:rPr>
          <w:rFonts w:ascii="Garamond" w:hAnsi="Garamond" w:cs="Tahoma"/>
          <w:bCs/>
          <w:color w:val="000000" w:themeColor="text1"/>
          <w:sz w:val="24"/>
          <w:szCs w:val="24"/>
        </w:rPr>
        <w:t>P: ..., ... (Município – UF)</w:t>
      </w:r>
      <w:bookmarkEnd w:id="3"/>
      <w:r w:rsidRPr="00D44C32">
        <w:rPr>
          <w:rFonts w:ascii="Garamond" w:hAnsi="Garamond" w:cs="Tahoma"/>
          <w:bCs/>
          <w:color w:val="000000" w:themeColor="text1"/>
          <w:sz w:val="24"/>
          <w:szCs w:val="24"/>
        </w:rPr>
        <w:t>,</w:t>
      </w:r>
      <w:bookmarkEnd w:id="1"/>
      <w:r w:rsidR="00DA7B1F" w:rsidRPr="00D44C32">
        <w:rPr>
          <w:rFonts w:ascii="Garamond" w:hAnsi="Garamond" w:cs="Tahoma"/>
          <w:color w:val="000000" w:themeColor="text1"/>
          <w:sz w:val="24"/>
          <w:szCs w:val="24"/>
        </w:rPr>
        <w:t xml:space="preserve"> comparece à presença de V. Exa., sob a reverência de praxe, por intermédio do sua procuradora e advogada </w:t>
      </w:r>
      <w:r w:rsidR="00DA7B1F" w:rsidRPr="00D44C32">
        <w:rPr>
          <w:rFonts w:ascii="Garamond" w:hAnsi="Garamond" w:cs="Tahoma"/>
          <w:iCs/>
          <w:color w:val="000000" w:themeColor="text1"/>
          <w:sz w:val="24"/>
          <w:szCs w:val="24"/>
        </w:rPr>
        <w:t>in fine</w:t>
      </w:r>
      <w:r w:rsidR="00DA7B1F" w:rsidRPr="00D44C32">
        <w:rPr>
          <w:rFonts w:ascii="Garamond" w:hAnsi="Garamond" w:cs="Tahoma"/>
          <w:color w:val="000000" w:themeColor="text1"/>
          <w:sz w:val="24"/>
          <w:szCs w:val="24"/>
        </w:rPr>
        <w:t> (doc. 01), com Escritório Profissional indicado no timbre, para expor fatos e vindicar tutela no contexto da seguinte</w:t>
      </w:r>
    </w:p>
    <w:p w:rsidR="00DA7B1F" w:rsidRPr="00D44C32" w:rsidRDefault="00DA7B1F" w:rsidP="00D44C32">
      <w:pPr>
        <w:spacing w:line="360" w:lineRule="auto"/>
        <w:jc w:val="both"/>
        <w:rPr>
          <w:rFonts w:ascii="Garamond" w:hAnsi="Garamond" w:cs="Tahoma"/>
          <w:color w:val="000000" w:themeColor="text1"/>
          <w:sz w:val="24"/>
          <w:szCs w:val="24"/>
        </w:rPr>
      </w:pPr>
    </w:p>
    <w:p w:rsidR="00DA7B1F" w:rsidRPr="00D44C32" w:rsidRDefault="00DA7B1F" w:rsidP="00D44C32">
      <w:pPr>
        <w:spacing w:line="360" w:lineRule="auto"/>
        <w:jc w:val="center"/>
        <w:rPr>
          <w:rFonts w:ascii="Garamond" w:hAnsi="Garamond" w:cs="Tahoma"/>
          <w:color w:val="000000" w:themeColor="text1"/>
          <w:sz w:val="24"/>
          <w:szCs w:val="24"/>
        </w:rPr>
      </w:pPr>
      <w:r w:rsidRPr="00D44C32">
        <w:rPr>
          <w:rFonts w:ascii="Garamond" w:hAnsi="Garamond" w:cs="Tahoma"/>
          <w:b/>
          <w:bCs/>
          <w:color w:val="000000" w:themeColor="text1"/>
          <w:sz w:val="24"/>
          <w:szCs w:val="24"/>
        </w:rPr>
        <w:t>AÇÃO DE OBRIGAÇÃO DE FAZER</w:t>
      </w:r>
    </w:p>
    <w:p w:rsidR="00DA7B1F" w:rsidRPr="00D44C32" w:rsidRDefault="00DA7B1F" w:rsidP="00D44C32">
      <w:pPr>
        <w:spacing w:line="360" w:lineRule="auto"/>
        <w:jc w:val="center"/>
        <w:rPr>
          <w:rFonts w:ascii="Garamond" w:hAnsi="Garamond" w:cs="Tahoma"/>
          <w:color w:val="000000" w:themeColor="text1"/>
          <w:sz w:val="24"/>
          <w:szCs w:val="24"/>
        </w:rPr>
      </w:pPr>
      <w:r w:rsidRPr="00D44C32">
        <w:rPr>
          <w:rFonts w:ascii="Garamond" w:hAnsi="Garamond" w:cs="Tahoma"/>
          <w:b/>
          <w:bCs/>
          <w:color w:val="000000" w:themeColor="text1"/>
          <w:sz w:val="24"/>
          <w:szCs w:val="24"/>
        </w:rPr>
        <w:t>COM PEDIDO DE ANTECIPAÇÃO DE TUTELA</w:t>
      </w:r>
    </w:p>
    <w:p w:rsidR="00DA7B1F" w:rsidRPr="00D44C32" w:rsidRDefault="00DA7B1F" w:rsidP="00D44C32">
      <w:pPr>
        <w:spacing w:line="360" w:lineRule="auto"/>
        <w:jc w:val="center"/>
        <w:rPr>
          <w:rFonts w:ascii="Garamond" w:hAnsi="Garamond" w:cs="Tahoma"/>
          <w:color w:val="000000" w:themeColor="text1"/>
          <w:sz w:val="24"/>
          <w:szCs w:val="24"/>
        </w:rPr>
      </w:pPr>
      <w:r w:rsidRPr="00D44C32">
        <w:rPr>
          <w:rFonts w:ascii="Garamond" w:hAnsi="Garamond" w:cs="Tahoma"/>
          <w:b/>
          <w:bCs/>
          <w:color w:val="000000" w:themeColor="text1"/>
          <w:sz w:val="24"/>
          <w:szCs w:val="24"/>
        </w:rPr>
        <w:t>(FORNECIMENTO DE MEDICAMENTO)</w:t>
      </w:r>
    </w:p>
    <w:p w:rsidR="00DA7B1F" w:rsidRPr="00D44C32" w:rsidRDefault="00DA7B1F" w:rsidP="00D44C32">
      <w:pPr>
        <w:spacing w:line="360" w:lineRule="auto"/>
        <w:jc w:val="both"/>
        <w:rPr>
          <w:rFonts w:ascii="Garamond" w:hAnsi="Garamond" w:cs="Tahoma"/>
          <w:color w:val="000000" w:themeColor="text1"/>
          <w:sz w:val="24"/>
          <w:szCs w:val="24"/>
        </w:rPr>
      </w:pPr>
    </w:p>
    <w:p w:rsidR="00966DE7" w:rsidRDefault="00966DE7" w:rsidP="00D44C32">
      <w:pPr>
        <w:spacing w:line="360" w:lineRule="auto"/>
        <w:jc w:val="both"/>
        <w:rPr>
          <w:rFonts w:ascii="Garamond" w:hAnsi="Garamond" w:cs="Tahoma"/>
          <w:color w:val="000000" w:themeColor="text1"/>
          <w:sz w:val="24"/>
          <w:szCs w:val="24"/>
        </w:rPr>
      </w:pPr>
      <w:bookmarkStart w:id="4" w:name="_Hlk483225481"/>
      <w:bookmarkStart w:id="5" w:name="_Hlk482884621"/>
      <w:bookmarkStart w:id="6" w:name="_Hlk482886533"/>
      <w:r w:rsidRPr="00D44C32">
        <w:rPr>
          <w:rFonts w:ascii="Garamond" w:hAnsi="Garamond" w:cs="Tahoma"/>
          <w:color w:val="000000" w:themeColor="text1"/>
          <w:sz w:val="24"/>
          <w:szCs w:val="24"/>
        </w:rPr>
        <w:t xml:space="preserve">em face de </w:t>
      </w:r>
      <w:bookmarkStart w:id="7" w:name="_Hlk483247544"/>
      <w:r w:rsidRPr="00D44C32">
        <w:rPr>
          <w:rFonts w:ascii="Garamond" w:hAnsi="Garamond" w:cs="Tahoma"/>
          <w:b/>
          <w:color w:val="000000" w:themeColor="text1"/>
          <w:sz w:val="24"/>
          <w:szCs w:val="24"/>
        </w:rPr>
        <w:t>... (nome em negrito da parte)</w:t>
      </w:r>
      <w:r w:rsidRPr="00D44C32">
        <w:rPr>
          <w:rFonts w:ascii="Garamond" w:hAnsi="Garamond" w:cs="Tahoma"/>
          <w:color w:val="000000" w:themeColor="text1"/>
          <w:sz w:val="24"/>
          <w:szCs w:val="24"/>
        </w:rPr>
        <w:t>, ... (indicar se é pessoa física ou jurídica), com CPF/CNPJ de n. ..., com sede na Rua ..., n. ..., ... (bairro), CEP: ..., ... (Município– UF)</w:t>
      </w:r>
      <w:bookmarkEnd w:id="4"/>
      <w:r w:rsidRPr="00D44C32">
        <w:rPr>
          <w:rFonts w:ascii="Garamond" w:hAnsi="Garamond" w:cs="Tahoma"/>
          <w:color w:val="000000" w:themeColor="text1"/>
          <w:sz w:val="24"/>
          <w:szCs w:val="24"/>
        </w:rPr>
        <w:t>, pelas razões de fato e de direito que passa a aduzir e no final requer.:</w:t>
      </w:r>
    </w:p>
    <w:p w:rsidR="00D44C32" w:rsidRPr="00D44C32" w:rsidRDefault="00D44C32" w:rsidP="00D44C32">
      <w:pPr>
        <w:spacing w:line="360" w:lineRule="auto"/>
        <w:jc w:val="both"/>
        <w:rPr>
          <w:rFonts w:ascii="Garamond" w:hAnsi="Garamond" w:cs="Tahoma"/>
          <w:color w:val="000000" w:themeColor="text1"/>
          <w:sz w:val="24"/>
          <w:szCs w:val="24"/>
        </w:rPr>
      </w:pPr>
    </w:p>
    <w:bookmarkEnd w:id="5"/>
    <w:bookmarkEnd w:id="6"/>
    <w:bookmarkEnd w:id="7"/>
    <w:p w:rsidR="00D44C32" w:rsidRPr="00237DFB" w:rsidRDefault="00D44C32" w:rsidP="00D44C32">
      <w:pPr>
        <w:spacing w:line="360" w:lineRule="auto"/>
        <w:rPr>
          <w:rFonts w:ascii="Garamond" w:hAnsi="Garamond"/>
          <w:b/>
          <w:color w:val="000000"/>
          <w:sz w:val="24"/>
          <w:szCs w:val="24"/>
          <w:u w:val="single"/>
        </w:rPr>
      </w:pPr>
      <w:r w:rsidRPr="00237DFB">
        <w:rPr>
          <w:rFonts w:ascii="Garamond" w:hAnsi="Garamond"/>
          <w:b/>
          <w:color w:val="000000"/>
          <w:sz w:val="24"/>
          <w:szCs w:val="24"/>
          <w:u w:val="single"/>
        </w:rPr>
        <w:t>JUSTIÇA GRATUITA:</w:t>
      </w:r>
    </w:p>
    <w:p w:rsidR="00D44C32" w:rsidRPr="00237DFB" w:rsidRDefault="00D44C32" w:rsidP="00D44C32">
      <w:pPr>
        <w:spacing w:line="360" w:lineRule="auto"/>
        <w:rPr>
          <w:rFonts w:ascii="Garamond" w:hAnsi="Garamond"/>
          <w:color w:val="000000"/>
          <w:sz w:val="24"/>
          <w:szCs w:val="24"/>
        </w:rPr>
      </w:pPr>
    </w:p>
    <w:p w:rsidR="00D44C32" w:rsidRDefault="00D44C32" w:rsidP="00D44C32">
      <w:pPr>
        <w:spacing w:line="360" w:lineRule="auto"/>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D44C32" w:rsidRPr="00237DFB" w:rsidRDefault="00D44C32" w:rsidP="00D44C32">
      <w:pPr>
        <w:spacing w:line="360" w:lineRule="auto"/>
        <w:rPr>
          <w:rFonts w:ascii="Garamond" w:hAnsi="Garamond"/>
          <w:color w:val="000000"/>
          <w:sz w:val="24"/>
          <w:szCs w:val="24"/>
        </w:rPr>
      </w:pPr>
    </w:p>
    <w:p w:rsidR="00D44C32" w:rsidRPr="00237DFB" w:rsidRDefault="00D44C32" w:rsidP="00D44C32">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D44C32" w:rsidRPr="00237DFB" w:rsidRDefault="00D44C32" w:rsidP="00D44C32">
      <w:pPr>
        <w:spacing w:line="360" w:lineRule="auto"/>
        <w:rPr>
          <w:rFonts w:ascii="Garamond" w:hAnsi="Garamond"/>
          <w:color w:val="000000"/>
          <w:sz w:val="24"/>
          <w:szCs w:val="24"/>
        </w:rPr>
      </w:pPr>
    </w:p>
    <w:p w:rsidR="00D44C32" w:rsidRPr="00237DFB" w:rsidRDefault="00D44C32" w:rsidP="00D44C32">
      <w:pPr>
        <w:spacing w:line="360" w:lineRule="auto"/>
        <w:ind w:left="2268" w:right="627"/>
        <w:rPr>
          <w:rFonts w:ascii="Garamond" w:hAnsi="Garamond"/>
          <w:color w:val="000000"/>
          <w:sz w:val="24"/>
          <w:szCs w:val="24"/>
        </w:rPr>
      </w:pPr>
      <w:r w:rsidRPr="00237DFB">
        <w:rPr>
          <w:rFonts w:ascii="Garamond" w:hAnsi="Garamond"/>
          <w:color w:val="000000"/>
          <w:sz w:val="24"/>
          <w:szCs w:val="24"/>
        </w:rPr>
        <w:t>“Art. 1º A ação de alimentos é de rito especial, independe de prévia distribuição e de anterior concessão do benefício de gratuidade.</w:t>
      </w:r>
    </w:p>
    <w:p w:rsidR="00D44C32" w:rsidRPr="00237DFB" w:rsidRDefault="00D44C32" w:rsidP="00D44C32">
      <w:pPr>
        <w:spacing w:line="360" w:lineRule="auto"/>
        <w:ind w:left="2268" w:right="627"/>
        <w:rPr>
          <w:rFonts w:ascii="Garamond" w:hAnsi="Garamond"/>
          <w:color w:val="000000"/>
          <w:sz w:val="24"/>
          <w:szCs w:val="24"/>
        </w:rPr>
      </w:pPr>
      <w:r w:rsidRPr="00237DFB">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D44C32" w:rsidRPr="00237DFB" w:rsidRDefault="00D44C32" w:rsidP="00D44C32">
      <w:pPr>
        <w:spacing w:line="360" w:lineRule="auto"/>
        <w:rPr>
          <w:rFonts w:ascii="Garamond" w:hAnsi="Garamond"/>
          <w:color w:val="000000"/>
          <w:sz w:val="24"/>
          <w:szCs w:val="24"/>
        </w:rPr>
      </w:pPr>
    </w:p>
    <w:p w:rsidR="00D44C32" w:rsidRPr="00237DFB" w:rsidRDefault="00D44C32" w:rsidP="00D44C32">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D44C32" w:rsidRPr="00237DFB" w:rsidRDefault="00D44C32" w:rsidP="00D44C32">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D44C32" w:rsidRPr="00237DFB" w:rsidRDefault="00D44C32" w:rsidP="00D44C32">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D44C32" w:rsidRPr="00237DFB" w:rsidRDefault="00D44C32" w:rsidP="00D44C32">
      <w:pPr>
        <w:shd w:val="clear" w:color="auto" w:fill="FFFFFF"/>
        <w:spacing w:after="324" w:line="360" w:lineRule="auto"/>
        <w:ind w:left="2268"/>
        <w:rPr>
          <w:rFonts w:ascii="Garamond" w:hAnsi="Garamond"/>
          <w:color w:val="000000"/>
          <w:sz w:val="24"/>
          <w:szCs w:val="24"/>
        </w:rPr>
      </w:pPr>
    </w:p>
    <w:p w:rsidR="00D44C32" w:rsidRPr="00237DFB" w:rsidRDefault="00D44C32" w:rsidP="00D44C32">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D44C32" w:rsidRPr="00A107E7" w:rsidRDefault="00D44C32" w:rsidP="00D44C32">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w:t>
      </w:r>
      <w:r w:rsidRPr="00237DFB">
        <w:rPr>
          <w:rFonts w:ascii="Garamond" w:hAnsi="Garamond"/>
          <w:color w:val="000000"/>
          <w:sz w:val="24"/>
          <w:szCs w:val="24"/>
        </w:rPr>
        <w:lastRenderedPageBreak/>
        <w:t>lhe proporcionar o mais amplo acesso ao poder judiciário, garantia essa que a Constituição Federal elegeu no inciso LXXIV, do artigo 5º. </w:t>
      </w:r>
    </w:p>
    <w:p w:rsidR="00DA7B1F" w:rsidRPr="00D44C32" w:rsidRDefault="00DA7B1F" w:rsidP="00D44C32">
      <w:pPr>
        <w:spacing w:line="360" w:lineRule="auto"/>
        <w:jc w:val="both"/>
        <w:rPr>
          <w:rFonts w:ascii="Garamond" w:hAnsi="Garamond" w:cs="Tahoma"/>
          <w:b/>
          <w:color w:val="000000" w:themeColor="text1"/>
          <w:sz w:val="24"/>
          <w:szCs w:val="24"/>
        </w:rPr>
      </w:pPr>
      <w:r w:rsidRPr="00D44C32">
        <w:rPr>
          <w:rFonts w:ascii="Garamond" w:hAnsi="Garamond" w:cs="Tahoma"/>
          <w:b/>
          <w:color w:val="000000" w:themeColor="text1"/>
          <w:sz w:val="24"/>
          <w:szCs w:val="24"/>
        </w:rPr>
        <w:t xml:space="preserve"> DOS FATOS</w:t>
      </w:r>
      <w:bookmarkStart w:id="8" w:name="_GoBack"/>
      <w:bookmarkEnd w:id="8"/>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Conforme comprova a documentação anexa, o demandante é portador de </w:t>
      </w:r>
      <w:r w:rsidRPr="00D44C32">
        <w:rPr>
          <w:rFonts w:ascii="Garamond" w:hAnsi="Garamond" w:cs="Tahoma"/>
          <w:b/>
          <w:bCs/>
          <w:color w:val="000000" w:themeColor="text1"/>
          <w:sz w:val="24"/>
          <w:szCs w:val="24"/>
        </w:rPr>
        <w:t>NEOPLASIA MALIGNA</w:t>
      </w:r>
      <w:r w:rsidRPr="00D44C32">
        <w:rPr>
          <w:rFonts w:ascii="Garamond" w:hAnsi="Garamond" w:cs="Tahoma"/>
          <w:color w:val="000000" w:themeColor="text1"/>
          <w:sz w:val="24"/>
          <w:szCs w:val="24"/>
        </w:rPr>
        <w:t> (câncer no cérebro), cujos tumores foram detectados recentemente em verificação médica de distúrbios na memória. Nem é preciso enfatizar que referida doença está causando ingente transtorno na vida do requerente, podendo, inclusive, causar-lhe a morte.</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Informa o Relatório Médico (doc. Anexo) que o requerente é portador de neoplasia de sistema nervoso central submetida a ressecção parcial em XXXXXXXXXXXX, com anátomo-patológico revelando a presença de Glioblastoma Multiforme, recomendando tratamento complementar com radioterapia associado ao Medicamento TEMODAL, </w:t>
      </w:r>
      <w:r w:rsidRPr="00D44C32">
        <w:rPr>
          <w:rFonts w:ascii="Garamond" w:hAnsi="Garamond" w:cs="Tahoma"/>
          <w:b/>
          <w:bCs/>
          <w:color w:val="000000" w:themeColor="text1"/>
          <w:sz w:val="24"/>
          <w:szCs w:val="24"/>
        </w:rPr>
        <w:t>sendo este o único medicamento que aumenta a sobrevida global, quando associado a radioterapia</w:t>
      </w:r>
      <w:r w:rsidRPr="00D44C32">
        <w:rPr>
          <w:rFonts w:ascii="Garamond" w:hAnsi="Garamond" w:cs="Tahoma"/>
          <w:color w:val="000000" w:themeColor="text1"/>
          <w:sz w:val="24"/>
          <w:szCs w:val="24"/>
        </w:rPr>
        <w:t>, neste contexto clínico.</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No tocante ao fármaco TEMODAL, consoante prescrição do oncologista clínico, Dr. XXXXXXXXXXXXXX, CRM nº XXXX (doc. Anexo), o paciente deve tomar 42 (quarenta e dois) comprimidos de 100m e 84 (oitenta e quatro) comprimidos de 20mg. Trata-se de produto aprovado pelas agências reguladoras nacionais e internacionais para os casos de Glioblastoma Multiforme. (preços do medicamento em anexo)</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O custo do produto em tela situa-se muito além do poder de compra dos proventos do requerente, não bastasse a necessidade de prover o seu próprio sustento e de sua família.</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Ademais, situação financeira à parte, o autor é associado ao Plano de Saúde XXXXXXXXXXXXX, através de contrato firmado com o Sindicato dos Policiais XXXXXXXXXXX no Estado XXXXXXXXXX (doc. Anexo).</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Salvo raríssimas exceções previstas expressamente em lei, os Planos de Saúde devem arcar com despesas hospitalares, ambulatoriais e outras de natureza terapêutica indispensáveis à reabilitação do paciente.</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Estes são os fatos em apertada e objetiva síntese.</w:t>
      </w:r>
    </w:p>
    <w:p w:rsidR="00DA7B1F" w:rsidRPr="00D44C32" w:rsidRDefault="00DA7B1F" w:rsidP="00D44C32">
      <w:pPr>
        <w:spacing w:line="360" w:lineRule="auto"/>
        <w:jc w:val="both"/>
        <w:rPr>
          <w:rFonts w:ascii="Garamond" w:hAnsi="Garamond" w:cs="Tahoma"/>
          <w:b/>
          <w:color w:val="000000" w:themeColor="text1"/>
          <w:sz w:val="24"/>
          <w:szCs w:val="24"/>
        </w:rPr>
      </w:pPr>
      <w:r w:rsidRPr="00D44C32">
        <w:rPr>
          <w:rFonts w:ascii="Garamond" w:hAnsi="Garamond" w:cs="Tahoma"/>
          <w:b/>
          <w:color w:val="000000" w:themeColor="text1"/>
          <w:sz w:val="24"/>
          <w:szCs w:val="24"/>
        </w:rPr>
        <w:t>III – DO DIREITO.</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lastRenderedPageBreak/>
        <w:t>É cediço que os Planos de Saúde são regidos pela Lei Federal de nº </w:t>
      </w:r>
      <w:hyperlink r:id="rId4" w:tooltip="Lei nº 9.656, de 3 de junho de 1998." w:history="1">
        <w:r w:rsidRPr="00D44C32">
          <w:rPr>
            <w:rStyle w:val="Hyperlink"/>
            <w:rFonts w:ascii="Garamond" w:hAnsi="Garamond" w:cs="Tahoma"/>
            <w:color w:val="000000" w:themeColor="text1"/>
            <w:sz w:val="24"/>
            <w:szCs w:val="24"/>
            <w:u w:val="none"/>
          </w:rPr>
          <w:t>9.656</w:t>
        </w:r>
      </w:hyperlink>
      <w:r w:rsidRPr="00D44C32">
        <w:rPr>
          <w:rFonts w:ascii="Garamond" w:hAnsi="Garamond" w:cs="Tahoma"/>
          <w:color w:val="000000" w:themeColor="text1"/>
          <w:sz w:val="24"/>
          <w:szCs w:val="24"/>
        </w:rPr>
        <w:t>, de 03 de junho de 1998, em articulação com outras normas legais que regulam determinados aspectos da mesma matéria.</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No art. 10, inciso V, da norma supracitada, encontramos a regra jurídica que desobriga os Planos de Saúde do </w:t>
      </w:r>
      <w:r w:rsidRPr="00D44C32">
        <w:rPr>
          <w:rFonts w:ascii="Garamond" w:hAnsi="Garamond" w:cs="Tahoma"/>
          <w:b/>
          <w:bCs/>
          <w:color w:val="000000" w:themeColor="text1"/>
          <w:sz w:val="24"/>
          <w:szCs w:val="24"/>
        </w:rPr>
        <w:t>“Fornecimento de materiais ou medicamentos importados não nacionalizados”</w:t>
      </w:r>
      <w:r w:rsidRPr="00D44C32">
        <w:rPr>
          <w:rFonts w:ascii="Garamond" w:hAnsi="Garamond" w:cs="Tahoma"/>
          <w:color w:val="000000" w:themeColor="text1"/>
          <w:sz w:val="24"/>
          <w:szCs w:val="24"/>
        </w:rPr>
        <w:t>.</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Referida exceção se encontra transcrita, </w:t>
      </w:r>
      <w:r w:rsidRPr="00D44C32">
        <w:rPr>
          <w:rFonts w:ascii="Garamond" w:hAnsi="Garamond" w:cs="Tahoma"/>
          <w:iCs/>
          <w:color w:val="000000" w:themeColor="text1"/>
          <w:sz w:val="24"/>
          <w:szCs w:val="24"/>
        </w:rPr>
        <w:t>ipsis litteris</w:t>
      </w:r>
      <w:r w:rsidRPr="00D44C32">
        <w:rPr>
          <w:rFonts w:ascii="Garamond" w:hAnsi="Garamond" w:cs="Tahoma"/>
          <w:color w:val="000000" w:themeColor="text1"/>
          <w:sz w:val="24"/>
          <w:szCs w:val="24"/>
        </w:rPr>
        <w:t>, no subitem 9.9 da Cláusula IX, do Contrato firmado entre a XXXXXXXXX e o Sindicato dos Policiais XXXXXXXXXXXX no Estado XXXXXXXX.</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Bem de ver que o dispositivo legal em comento exclui a obrigação do Plano de Saúde somente em relação a produtos estrangeiros que não tenham sido </w:t>
      </w:r>
      <w:r w:rsidRPr="00D44C32">
        <w:rPr>
          <w:rFonts w:ascii="Garamond" w:hAnsi="Garamond" w:cs="Tahoma"/>
          <w:b/>
          <w:bCs/>
          <w:color w:val="000000" w:themeColor="text1"/>
          <w:sz w:val="24"/>
          <w:szCs w:val="24"/>
        </w:rPr>
        <w:t>nacionalizados</w:t>
      </w:r>
      <w:r w:rsidRPr="00D44C32">
        <w:rPr>
          <w:rFonts w:ascii="Garamond" w:hAnsi="Garamond" w:cs="Tahoma"/>
          <w:color w:val="000000" w:themeColor="text1"/>
          <w:sz w:val="24"/>
          <w:szCs w:val="24"/>
        </w:rPr>
        <w:t> pelas autoridades brasileiras.</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Na definição da Diretoria Colegiada da Agência Nacional de Saúde Suplementar – ANS, inserta na Resolução Normativa RN nº 167, de 09 de janeiro de 2007 (doc. Anexo), na letra do seu art. 13, inciso V, </w:t>
      </w:r>
      <w:r w:rsidRPr="00D44C32">
        <w:rPr>
          <w:rFonts w:ascii="Garamond" w:hAnsi="Garamond" w:cs="Tahoma"/>
          <w:iCs/>
          <w:color w:val="000000" w:themeColor="text1"/>
          <w:sz w:val="24"/>
          <w:szCs w:val="24"/>
        </w:rPr>
        <w:t>medicamentos e produtos para a saúde </w:t>
      </w:r>
      <w:r w:rsidRPr="00D44C32">
        <w:rPr>
          <w:rFonts w:ascii="Garamond" w:hAnsi="Garamond" w:cs="Tahoma"/>
          <w:b/>
          <w:bCs/>
          <w:iCs/>
          <w:color w:val="000000" w:themeColor="text1"/>
          <w:sz w:val="24"/>
          <w:szCs w:val="24"/>
        </w:rPr>
        <w:t>importados não nacionalizados</w:t>
      </w:r>
      <w:r w:rsidRPr="00D44C32">
        <w:rPr>
          <w:rFonts w:ascii="Garamond" w:hAnsi="Garamond" w:cs="Tahoma"/>
          <w:iCs/>
          <w:color w:val="000000" w:themeColor="text1"/>
          <w:sz w:val="24"/>
          <w:szCs w:val="24"/>
        </w:rPr>
        <w:t> são aqueles produzidos fora do território nacional </w:t>
      </w:r>
      <w:r w:rsidRPr="00D44C32">
        <w:rPr>
          <w:rFonts w:ascii="Garamond" w:hAnsi="Garamond" w:cs="Tahoma"/>
          <w:b/>
          <w:bCs/>
          <w:iCs/>
          <w:color w:val="000000" w:themeColor="text1"/>
          <w:sz w:val="24"/>
          <w:szCs w:val="24"/>
        </w:rPr>
        <w:t>e sem registro vigente</w:t>
      </w:r>
      <w:r w:rsidRPr="00D44C32">
        <w:rPr>
          <w:rFonts w:ascii="Garamond" w:hAnsi="Garamond" w:cs="Tahoma"/>
          <w:iCs/>
          <w:color w:val="000000" w:themeColor="text1"/>
          <w:sz w:val="24"/>
          <w:szCs w:val="24"/>
        </w:rPr>
        <w:t> na Agência Nacional de Vigilância Sanitária</w:t>
      </w:r>
      <w:r w:rsidRPr="00D44C32">
        <w:rPr>
          <w:rFonts w:ascii="Garamond" w:hAnsi="Garamond" w:cs="Tahoma"/>
          <w:color w:val="000000" w:themeColor="text1"/>
          <w:sz w:val="24"/>
          <w:szCs w:val="24"/>
        </w:rPr>
        <w:t> (ANVISA).</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NÃO É O CASO DO FÁRMACO TEMODAL.</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Com efeito, o medicamento TEMODAL, fabricado pelo Laboratório Schering-Plough, tem registro no Ministério da Saúde sob o nº MS 1.6614.0009, para fabricação pela Schering-Plough Produtos Farmacêuticos Ltda. E sob o nº 100930206, para fabricação por Mantercop Indústria Química e Farmacêutica Ltda., estando, portanto, excluído das exceções a que se referem o art. </w:t>
      </w:r>
      <w:hyperlink r:id="rId5" w:tooltip="Artigo 10 da Lei nº 9.656 de 03 de Junho de 1998" w:history="1">
        <w:r w:rsidRPr="00D44C32">
          <w:rPr>
            <w:rStyle w:val="Hyperlink"/>
            <w:rFonts w:ascii="Garamond" w:hAnsi="Garamond" w:cs="Tahoma"/>
            <w:color w:val="000000" w:themeColor="text1"/>
            <w:sz w:val="24"/>
            <w:szCs w:val="24"/>
            <w:u w:val="none"/>
          </w:rPr>
          <w:t>10</w:t>
        </w:r>
      </w:hyperlink>
      <w:r w:rsidRPr="00D44C32">
        <w:rPr>
          <w:rFonts w:ascii="Garamond" w:hAnsi="Garamond" w:cs="Tahoma"/>
          <w:color w:val="000000" w:themeColor="text1"/>
          <w:sz w:val="24"/>
          <w:szCs w:val="24"/>
        </w:rPr>
        <w:t>, </w:t>
      </w:r>
      <w:hyperlink r:id="rId6" w:tooltip="Inciso V do Artigo 10 da Lei nº 9.656 de 03 de Junho de 1998" w:history="1">
        <w:r w:rsidRPr="00D44C32">
          <w:rPr>
            <w:rStyle w:val="Hyperlink"/>
            <w:rFonts w:ascii="Garamond" w:hAnsi="Garamond" w:cs="Tahoma"/>
            <w:color w:val="000000" w:themeColor="text1"/>
            <w:sz w:val="24"/>
            <w:szCs w:val="24"/>
            <w:u w:val="none"/>
          </w:rPr>
          <w:t>V</w:t>
        </w:r>
      </w:hyperlink>
      <w:r w:rsidRPr="00D44C32">
        <w:rPr>
          <w:rFonts w:ascii="Garamond" w:hAnsi="Garamond" w:cs="Tahoma"/>
          <w:color w:val="000000" w:themeColor="text1"/>
          <w:sz w:val="24"/>
          <w:szCs w:val="24"/>
        </w:rPr>
        <w:t>, da Lei Federal nº </w:t>
      </w:r>
      <w:hyperlink r:id="rId7" w:tooltip="Lei nº 9.656, de 3 de junho de 1998." w:history="1">
        <w:r w:rsidRPr="00D44C32">
          <w:rPr>
            <w:rStyle w:val="Hyperlink"/>
            <w:rFonts w:ascii="Garamond" w:hAnsi="Garamond" w:cs="Tahoma"/>
            <w:color w:val="000000" w:themeColor="text1"/>
            <w:sz w:val="24"/>
            <w:szCs w:val="24"/>
            <w:u w:val="none"/>
          </w:rPr>
          <w:t>9.656</w:t>
        </w:r>
      </w:hyperlink>
      <w:r w:rsidRPr="00D44C32">
        <w:rPr>
          <w:rFonts w:ascii="Garamond" w:hAnsi="Garamond" w:cs="Tahoma"/>
          <w:color w:val="000000" w:themeColor="text1"/>
          <w:sz w:val="24"/>
          <w:szCs w:val="24"/>
        </w:rPr>
        <w:t>/98 e a Cláusula IX, subitem 9.9 do Contrato </w:t>
      </w:r>
      <w:r w:rsidRPr="00D44C32">
        <w:rPr>
          <w:rFonts w:ascii="Garamond" w:hAnsi="Garamond" w:cs="Tahoma"/>
          <w:iCs/>
          <w:color w:val="000000" w:themeColor="text1"/>
          <w:sz w:val="24"/>
          <w:szCs w:val="24"/>
        </w:rPr>
        <w:t>sub examen</w:t>
      </w:r>
      <w:r w:rsidRPr="00D44C32">
        <w:rPr>
          <w:rFonts w:ascii="Garamond" w:hAnsi="Garamond" w:cs="Tahoma"/>
          <w:color w:val="000000" w:themeColor="text1"/>
          <w:sz w:val="24"/>
          <w:szCs w:val="24"/>
        </w:rPr>
        <w:t>.</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No próprio Relatório Médico (doc. Anexo) consta a informação de que o TEMODAL está aprovado pelas agências reguladoras nacionais e pelas internacionais, para o tratamento de </w:t>
      </w:r>
      <w:r w:rsidRPr="00D44C32">
        <w:rPr>
          <w:rFonts w:ascii="Garamond" w:hAnsi="Garamond" w:cs="Tahoma"/>
          <w:b/>
          <w:bCs/>
          <w:color w:val="000000" w:themeColor="text1"/>
          <w:sz w:val="24"/>
          <w:szCs w:val="24"/>
        </w:rPr>
        <w:t>Glioblastoma Multiforme</w:t>
      </w:r>
      <w:r w:rsidRPr="00D44C32">
        <w:rPr>
          <w:rFonts w:ascii="Garamond" w:hAnsi="Garamond" w:cs="Tahoma"/>
          <w:color w:val="000000" w:themeColor="text1"/>
          <w:sz w:val="24"/>
          <w:szCs w:val="24"/>
        </w:rPr>
        <w:t>.</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Trata-se de fornecimento obrigatório para fins de quimioterapia.</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No âmbito do Superior Tribunal de Justiça, o Ministro Carlos Alberto Menezes sentenciou:</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lastRenderedPageBreak/>
        <w:t>1. O plano de saúde pode estabelecer quais doenças estão sendo cobertas, </w:t>
      </w:r>
      <w:r w:rsidRPr="00D44C32">
        <w:rPr>
          <w:rFonts w:ascii="Garamond" w:hAnsi="Garamond" w:cs="Tahoma"/>
          <w:b/>
          <w:bCs/>
          <w:color w:val="000000" w:themeColor="text1"/>
          <w:sz w:val="24"/>
          <w:szCs w:val="24"/>
        </w:rPr>
        <w:t>mas não que tipo de tratamento está alcançado para a respectiva cura</w:t>
      </w:r>
      <w:r w:rsidRPr="00D44C32">
        <w:rPr>
          <w:rFonts w:ascii="Garamond" w:hAnsi="Garamond" w:cs="Tahoma"/>
          <w:color w:val="000000" w:themeColor="text1"/>
          <w:sz w:val="24"/>
          <w:szCs w:val="24"/>
        </w:rPr>
        <w:t>. Se a patologia está coberta, no caso, o câncer, é inviável vedar a quimioterapia pelo simples fato de ser esta uma das alternativas possíveis para a cura da doença. A abusividade da cláusula reside exatamente nesse preciso aspecto, qual seja, </w:t>
      </w:r>
      <w:r w:rsidRPr="00D44C32">
        <w:rPr>
          <w:rFonts w:ascii="Garamond" w:hAnsi="Garamond" w:cs="Tahoma"/>
          <w:b/>
          <w:bCs/>
          <w:color w:val="000000" w:themeColor="text1"/>
          <w:sz w:val="24"/>
          <w:szCs w:val="24"/>
        </w:rPr>
        <w:t>não pode o paciente, em razão de cláusula limitativa, ser impedido de receber tratamento com o método mais moderno disponível no momento em que instalada a doença coberta</w:t>
      </w:r>
      <w:r w:rsidRPr="00D44C32">
        <w:rPr>
          <w:rFonts w:ascii="Garamond" w:hAnsi="Garamond" w:cs="Tahoma"/>
          <w:color w:val="000000" w:themeColor="text1"/>
          <w:sz w:val="24"/>
          <w:szCs w:val="24"/>
        </w:rPr>
        <w:t>.</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(Processo 2004.0099909-0 – REsp 668216 / SP)</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Muito feliz o Ministro-Relator do STJ, quando traz à tona a perfeita interpretação do direito que o ordenamento jurídico assegura ao cidadão brasileiro, em contrapartida às prestações financeiras que cumpre regularmente.</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O Direito, enquanto Ciência Social, deve submeter-se ao princípio da Razoabilidade, em cuja esfera torna-se inaceitável a simples e injustificável vantagem empresarial, em detrimento do paciente moribundo.</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No domínio das Justiças Estaduais, haveremos de colher os seguintes julgados:</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b/>
          <w:bCs/>
          <w:color w:val="000000" w:themeColor="text1"/>
          <w:sz w:val="24"/>
          <w:szCs w:val="24"/>
        </w:rPr>
        <w:t>SANTA CATARINA</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DIREITO CIVIL. AÇÃO ORDINÁRIA. SEGURO EM GRUPO DE ASSISTÊNCIA À SAÚDE. INDEVIDA RECUSA DE FORNECIMENTO DE MEDICAMENTOS SOB ALEGAÇÃO DE LEGÍTIMA EXCLUSÃO CONTRATUAL. IMPOSSIBILIDADE. APLICAÇÃO DAS DISPOSIÇÕES CONSUMERISTAS. CONTRADIÇÃO ENTRE CLÁUSULAS CONTRATUAIS (ART. </w:t>
      </w:r>
      <w:hyperlink r:id="rId8" w:tooltip="Artigo 47 da Lei nº 8.078 de 11 de Setembro de 1990" w:history="1">
        <w:r w:rsidRPr="00D44C32">
          <w:rPr>
            <w:rStyle w:val="Hyperlink"/>
            <w:rFonts w:ascii="Garamond" w:hAnsi="Garamond" w:cs="Tahoma"/>
            <w:color w:val="000000" w:themeColor="text1"/>
            <w:sz w:val="24"/>
            <w:szCs w:val="24"/>
            <w:u w:val="none"/>
          </w:rPr>
          <w:t>47</w:t>
        </w:r>
      </w:hyperlink>
      <w:r w:rsidRPr="00D44C32">
        <w:rPr>
          <w:rFonts w:ascii="Garamond" w:hAnsi="Garamond" w:cs="Tahoma"/>
          <w:color w:val="000000" w:themeColor="text1"/>
          <w:sz w:val="24"/>
          <w:szCs w:val="24"/>
        </w:rPr>
        <w:t> DO </w:t>
      </w:r>
      <w:hyperlink r:id="rId9" w:tooltip="Lei nº 8.078, de 11 de setembro de 1990." w:history="1">
        <w:r w:rsidRPr="00D44C32">
          <w:rPr>
            <w:rStyle w:val="Hyperlink"/>
            <w:rFonts w:ascii="Garamond" w:hAnsi="Garamond" w:cs="Tahoma"/>
            <w:color w:val="000000" w:themeColor="text1"/>
            <w:sz w:val="24"/>
            <w:szCs w:val="24"/>
            <w:u w:val="none"/>
          </w:rPr>
          <w:t>CDC</w:t>
        </w:r>
      </w:hyperlink>
      <w:r w:rsidRPr="00D44C32">
        <w:rPr>
          <w:rFonts w:ascii="Garamond" w:hAnsi="Garamond" w:cs="Tahoma"/>
          <w:color w:val="000000" w:themeColor="text1"/>
          <w:sz w:val="24"/>
          <w:szCs w:val="24"/>
        </w:rPr>
        <w:t>). INTERPRETAÇÃO FAVORÁVEL AO CONSUMIDOR. RECURSO DESPROVIDO.</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1. Em tema de seguro saúde, como tem entendido o STJ e esta Corte, se o plano é concebido para atender os custos pertinentes a tratamento de determinadas doenças, o que o contrato tem de dispor é sobre quais as patologias cobertas, não sobre os tipos de tratamentos cabíveis a cada uma delas. Se assim não fosse, estar-se-</w:t>
      </w:r>
      <w:r w:rsidRPr="00D44C32">
        <w:rPr>
          <w:rFonts w:ascii="Garamond" w:hAnsi="Garamond" w:cs="Tahoma"/>
          <w:color w:val="000000" w:themeColor="text1"/>
          <w:sz w:val="24"/>
          <w:szCs w:val="24"/>
        </w:rPr>
        <w:lastRenderedPageBreak/>
        <w:t>ia concebendo, igualmente, que a empresa que gerencia o plano de saúde substituísse ao médico na escolha da terapia mais adequada.</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2. Assim, é ilógico e atenta contra o princípio da razoabilidade, a circunstância de haver, no plano de saúde, previsão de cobertura quanto a doença – câncer – e respectivo tratamento quimioterápico e, contraditoriamente, no entanto, restrição ao pagamento dos custos quanto aos medicamentos indicados pelo médico para uso domiciliar – TEMODAL e Zofran.</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(Apelação Cível nº 2008.007636-4 – Quarta Câmara de Direito Civil. Relator Eládio Torret Rocha)</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b/>
          <w:bCs/>
          <w:color w:val="000000" w:themeColor="text1"/>
          <w:sz w:val="24"/>
          <w:szCs w:val="24"/>
        </w:rPr>
        <w:t>RIO GRANDE DO SUL</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PLANO DE SAÚDE. UNIMED PORTO ALEGRE. MEDULOBLASTOMA. TRATAMENTO COM TEMODAL.</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Preliminar de ilegitimidade ativa repelida. Os contratos de plano de saúde podem estabelecer as doenças sujeitas à cobertura, mas não podem limitar o tipo de tratamento ou de medicamento a ser alcançado ao paciente. Ademais, não obstante o contrato excluir tratamento experimental e domiciliar, o quadro clínico do autor é delicado...</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(Apelação Cível nº 70027339779 – Relator Leo Lima)</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b/>
          <w:bCs/>
          <w:color w:val="000000" w:themeColor="text1"/>
          <w:sz w:val="24"/>
          <w:szCs w:val="24"/>
        </w:rPr>
        <w:t>RIO DE JANEIRO</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OBRIGAÇÃO DE FAZER. PLANO DE SAÚDE. TRATAMENTO QUIMIOTERÁPICO REALIZADO VIA ORAL NA RESIDÊNCIA DO PACIENTE. COBERTURA RECUSADA. LIMINAR DEFERIDA. AUSÊNCIA DE TERATOLOGIA NA DECISÃO AGRAVADA.</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 xml:space="preserve">Inaplicabilidade, no caso concreto, de cláusula exonerativa de responsabilidade, pois a quimioterapia realizada através de medicamentos ministrados por via oral, como é o caso do Temodal, se inclui no próprio tratamento quimioterápico, substituindo o tratamento tradicional, que é a internação com aplicação </w:t>
      </w:r>
      <w:r w:rsidRPr="00D44C32">
        <w:rPr>
          <w:rFonts w:ascii="Garamond" w:hAnsi="Garamond" w:cs="Tahoma"/>
          <w:color w:val="000000" w:themeColor="text1"/>
          <w:sz w:val="24"/>
          <w:szCs w:val="24"/>
        </w:rPr>
        <w:lastRenderedPageBreak/>
        <w:t>intravenosa. Assim, o fornecimento da medicação não viola o contrato firmado entre as partes, não se aplicando ao caso a cláusula de exclusão de fornecimento de medicamentos para uso domiciliar, tudo em nome da dignidade humana e respeito à boa-fé objetiva.</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(Agravo de Instrumento nº 2008.002.34057 – Décima Segunda Câmara Cível – Relator Des. Lúcia Maria Miguel da Silva Lima)</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Verificamos que a Justiça vem fazendo a sua parte, no sentido de viabilizar o mais completo atendimento e assistência a quem paga um Plano de Saúde, de modo a garantir um equilíbrio contratual entre as partes. As restrições contra o consumidor são repelidas veementemente pelo Poder Judiciário.</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Não poderia ser diferente.</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Sem o controle jurisdicional o cidadão seria massacrado pelo poder econômico. Há casos em que o Plano de Saúde é utilizado uma única vez ao longo da vigência contratual, exatamente quando o contratante se encontra acometido de doença grave. Mesmo assim, passa o enfermo o constrangimento de enfrentar diversas dificuldades relacionadas com aspectos normativos que deveriam estar, sempre, em plano secundário no contexto da vida do ser humano.</w:t>
      </w:r>
    </w:p>
    <w:p w:rsidR="00DA7B1F" w:rsidRPr="00D44C32" w:rsidRDefault="00DA7B1F" w:rsidP="00D44C32">
      <w:pPr>
        <w:spacing w:line="360" w:lineRule="auto"/>
        <w:jc w:val="both"/>
        <w:rPr>
          <w:rFonts w:ascii="Garamond" w:hAnsi="Garamond" w:cs="Tahoma"/>
          <w:b/>
          <w:color w:val="000000" w:themeColor="text1"/>
          <w:sz w:val="24"/>
          <w:szCs w:val="24"/>
        </w:rPr>
      </w:pPr>
      <w:r w:rsidRPr="00D44C32">
        <w:rPr>
          <w:rFonts w:ascii="Garamond" w:hAnsi="Garamond" w:cs="Tahoma"/>
          <w:b/>
          <w:color w:val="000000" w:themeColor="text1"/>
          <w:sz w:val="24"/>
          <w:szCs w:val="24"/>
        </w:rPr>
        <w:t>IV – DA ANTECIPAÇÃO DO EFEITO DA TUTELA JURISDICIONAL.</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A antecipação dos efeitos da tutela encontra guarida no art. XXXX do </w:t>
      </w:r>
      <w:hyperlink r:id="rId10" w:tooltip="Lei no 5.869, de 11 de janeiro de 1973." w:history="1">
        <w:r w:rsidRPr="00D44C32">
          <w:rPr>
            <w:rStyle w:val="Hyperlink"/>
            <w:rFonts w:ascii="Garamond" w:hAnsi="Garamond" w:cs="Tahoma"/>
            <w:color w:val="000000" w:themeColor="text1"/>
            <w:sz w:val="24"/>
            <w:szCs w:val="24"/>
            <w:u w:val="none"/>
          </w:rPr>
          <w:t>CPC</w:t>
        </w:r>
      </w:hyperlink>
      <w:r w:rsidRPr="00D44C32">
        <w:rPr>
          <w:rFonts w:ascii="Garamond" w:hAnsi="Garamond" w:cs="Tahoma"/>
          <w:color w:val="000000" w:themeColor="text1"/>
          <w:sz w:val="24"/>
          <w:szCs w:val="24"/>
        </w:rPr>
        <w:t>, a requerimento da parte interessada, cabendo ao juiz se convencer da verossimilhança da alegação, à vista de prova inequívoca.</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Não há dúvida de que os documentos acostados à petição têm o condão de demonstrar a verossimilhança do direito alegado e o perigo de dano irreparável, haja vista à gravidade da doença contraída pelo suplicante, cujo tratamento exige administração de medicamento de alto custo, para que a sua vida possa ser preservada, razão da presente ação que pretende compelir a Operadora do Plano de Saúde XXXXXXX para que adquira e forneça o fármaco TEMODAL em conformidade com a prescrição médica disponibilizada em anexo, sem prejuízo de outros procedimentos complementares.</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A urgência se justifica pelo próprio motivo da petição, ou seja, a gravidade da doença e a rapidez com que a mesma provoca danos cerebrais, tornando irreversíveis as seqüelas produzidas, sem se falar no comprometimento da própria vida.</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lastRenderedPageBreak/>
        <w:t>Portanto, deferir-se a tutela antecipada, no presente caso, significa preservar a saúde do paciente e respeitar a sua condição de ser humano e de cidadão, que tem o direito de cobrar da Operadora o atendimento integral à saúde.</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Não obstante o pedido de antecipação de tutela se refira de forma específica à entrega de determinado medicamento, o que levaria, em uma análise apressada, a se pensar que a obrigação estaria limitada a uma prestação de dar, tem-se agregada a obrigação de fazer, qual seja de oferecer o tratamento necessário, suficiente e adequado à recuperação da saúde e à preservação da vida, tudo de acordo com a respectiva orientação médica.</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O </w:t>
      </w:r>
      <w:r w:rsidRPr="00D44C32">
        <w:rPr>
          <w:rFonts w:ascii="Garamond" w:hAnsi="Garamond" w:cs="Tahoma"/>
          <w:iCs/>
          <w:color w:val="000000" w:themeColor="text1"/>
          <w:sz w:val="24"/>
          <w:szCs w:val="24"/>
        </w:rPr>
        <w:t>fumus boni iuris</w:t>
      </w:r>
      <w:r w:rsidRPr="00D44C32">
        <w:rPr>
          <w:rFonts w:ascii="Garamond" w:hAnsi="Garamond" w:cs="Tahoma"/>
          <w:color w:val="000000" w:themeColor="text1"/>
          <w:sz w:val="24"/>
          <w:szCs w:val="24"/>
        </w:rPr>
        <w:t>, ou seja, a plausibilidade do direito invocado, consubstancia-se em tudo que foi relatado, mormente na informação médica e na notícia do estado atual do paciente XXXXXXXXXXXXXXXXXXXXXXXXXXXX, que necessita urgentemente do fármaco TEMOZOLOMIDA (TEMODAL), para que possa conquistar a sobrevida decorrente do respectivo tratamento.</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O </w:t>
      </w:r>
      <w:r w:rsidRPr="00D44C32">
        <w:rPr>
          <w:rFonts w:ascii="Garamond" w:hAnsi="Garamond" w:cs="Tahoma"/>
          <w:iCs/>
          <w:color w:val="000000" w:themeColor="text1"/>
          <w:sz w:val="24"/>
          <w:szCs w:val="24"/>
        </w:rPr>
        <w:t>periculum in mora</w:t>
      </w:r>
      <w:r w:rsidRPr="00D44C32">
        <w:rPr>
          <w:rFonts w:ascii="Garamond" w:hAnsi="Garamond" w:cs="Tahoma"/>
          <w:color w:val="000000" w:themeColor="text1"/>
          <w:sz w:val="24"/>
          <w:szCs w:val="24"/>
        </w:rPr>
        <w:t> é notório e decorre do risco de o paciente ir a óbito em virtude do agravamento do seu quadro clínico, em razão da demora na aplicação dos procedimentos recomendados pelo médico, em caráter de urgência.</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É importante, neste contexto, que a requerida seja notificada a cumprir determinado prazo relacionado com a OBRIGAÇÃO DE FAZER, sujeitando-os a uma multa pelo não cumprimento da prestação, de acordo com o disposto no § XX do art. XXXXX do </w:t>
      </w:r>
      <w:hyperlink r:id="rId11" w:tooltip="Lei no 5.869, de 11 de janeiro de 1973." w:history="1">
        <w:r w:rsidRPr="00D44C32">
          <w:rPr>
            <w:rStyle w:val="Hyperlink"/>
            <w:rFonts w:ascii="Garamond" w:hAnsi="Garamond" w:cs="Tahoma"/>
            <w:color w:val="000000" w:themeColor="text1"/>
            <w:sz w:val="24"/>
            <w:szCs w:val="24"/>
            <w:u w:val="none"/>
          </w:rPr>
          <w:t>CPC</w:t>
        </w:r>
      </w:hyperlink>
      <w:r w:rsidRPr="00D44C32">
        <w:rPr>
          <w:rFonts w:ascii="Garamond" w:hAnsi="Garamond" w:cs="Tahoma"/>
          <w:color w:val="000000" w:themeColor="text1"/>
          <w:sz w:val="24"/>
          <w:szCs w:val="24"/>
        </w:rPr>
        <w:t>, com redação da Lei nº XXXXX, de XXXXXXXXXXXXXXXX.</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Em sendo assim, tem-se por indispensável a concessão de tutela antecipada </w:t>
      </w:r>
      <w:r w:rsidRPr="00D44C32">
        <w:rPr>
          <w:rFonts w:ascii="Garamond" w:hAnsi="Garamond" w:cs="Tahoma"/>
          <w:iCs/>
          <w:color w:val="000000" w:themeColor="text1"/>
          <w:sz w:val="24"/>
          <w:szCs w:val="24"/>
        </w:rPr>
        <w:t>initio litis</w:t>
      </w:r>
      <w:r w:rsidRPr="00D44C32">
        <w:rPr>
          <w:rFonts w:ascii="Garamond" w:hAnsi="Garamond" w:cs="Tahoma"/>
          <w:color w:val="000000" w:themeColor="text1"/>
          <w:sz w:val="24"/>
          <w:szCs w:val="24"/>
        </w:rPr>
        <w:t> e </w:t>
      </w:r>
      <w:r w:rsidRPr="00D44C32">
        <w:rPr>
          <w:rFonts w:ascii="Garamond" w:hAnsi="Garamond" w:cs="Tahoma"/>
          <w:iCs/>
          <w:color w:val="000000" w:themeColor="text1"/>
          <w:sz w:val="24"/>
          <w:szCs w:val="24"/>
        </w:rPr>
        <w:t>inaudita altera pars</w:t>
      </w:r>
      <w:r w:rsidRPr="00D44C32">
        <w:rPr>
          <w:rFonts w:ascii="Garamond" w:hAnsi="Garamond" w:cs="Tahoma"/>
          <w:color w:val="000000" w:themeColor="text1"/>
          <w:sz w:val="24"/>
          <w:szCs w:val="24"/>
        </w:rPr>
        <w:t>, determinando à requerida a imediata aquisição e fornecimento do medicamento pleiteado, consoante dispõe a receita médica, em quantidade suficiente para cobrir todo o período relativo ao respectivo tratamento, sem prejuízo de outras formas de reabilitação, tudo sob pena de multa diária a ser cominada por Vossa Excelência, com a manutenção dos efeitos dessa medida até o trânsito em julgado da decisão meritória a ser proferida na presente demanda.</w:t>
      </w:r>
    </w:p>
    <w:p w:rsidR="00DA7B1F" w:rsidRPr="00D44C32" w:rsidRDefault="00DA7B1F" w:rsidP="00D44C32">
      <w:pPr>
        <w:spacing w:line="360" w:lineRule="auto"/>
        <w:jc w:val="both"/>
        <w:rPr>
          <w:rFonts w:ascii="Garamond" w:hAnsi="Garamond" w:cs="Tahoma"/>
          <w:b/>
          <w:color w:val="000000" w:themeColor="text1"/>
          <w:sz w:val="24"/>
          <w:szCs w:val="24"/>
        </w:rPr>
      </w:pPr>
      <w:r w:rsidRPr="00D44C32">
        <w:rPr>
          <w:rFonts w:ascii="Garamond" w:hAnsi="Garamond" w:cs="Tahoma"/>
          <w:b/>
          <w:color w:val="000000" w:themeColor="text1"/>
          <w:sz w:val="24"/>
          <w:szCs w:val="24"/>
        </w:rPr>
        <w:t>V – DO PEDIDO E REQUERIMENTOS.</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Meritíssimo Juiz,</w:t>
      </w:r>
    </w:p>
    <w:p w:rsidR="00DA7B1F" w:rsidRPr="00D44C32" w:rsidRDefault="00DA7B1F" w:rsidP="00D44C32">
      <w:pPr>
        <w:spacing w:line="360" w:lineRule="auto"/>
        <w:ind w:firstLine="708"/>
        <w:jc w:val="both"/>
        <w:rPr>
          <w:rFonts w:ascii="Garamond" w:hAnsi="Garamond" w:cs="Tahoma"/>
          <w:color w:val="000000" w:themeColor="text1"/>
          <w:sz w:val="24"/>
          <w:szCs w:val="24"/>
        </w:rPr>
      </w:pPr>
      <w:r w:rsidRPr="00D44C32">
        <w:rPr>
          <w:rFonts w:ascii="Garamond" w:hAnsi="Garamond" w:cs="Tahoma"/>
          <w:color w:val="000000" w:themeColor="text1"/>
          <w:sz w:val="24"/>
          <w:szCs w:val="24"/>
        </w:rPr>
        <w:t>À vista de toda a exposição aqui oferecida, requer o autor a Vossa Excelência:</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lastRenderedPageBreak/>
        <w:t>1. Os benefícios da Justiça Gratuita, na forma da Lei nº </w:t>
      </w:r>
      <w:hyperlink r:id="rId12" w:tooltip="Lei nº 1.060, de 5 de fevereiro de 1950." w:history="1">
        <w:r w:rsidRPr="00D44C32">
          <w:rPr>
            <w:rStyle w:val="Hyperlink"/>
            <w:rFonts w:ascii="Garamond" w:hAnsi="Garamond" w:cs="Tahoma"/>
            <w:color w:val="000000" w:themeColor="text1"/>
            <w:sz w:val="24"/>
            <w:szCs w:val="24"/>
            <w:u w:val="none"/>
          </w:rPr>
          <w:t>1.060</w:t>
        </w:r>
      </w:hyperlink>
      <w:r w:rsidRPr="00D44C32">
        <w:rPr>
          <w:rFonts w:ascii="Garamond" w:hAnsi="Garamond" w:cs="Tahoma"/>
          <w:color w:val="000000" w:themeColor="text1"/>
          <w:sz w:val="24"/>
          <w:szCs w:val="24"/>
        </w:rPr>
        <w:t>/50, por se tratar de situação excepcional em que um aposentado, vivendo momento delicado de saúde, tem o dever de preservar o sustento de sua família;</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2. A concessão de tutela antecipada, </w:t>
      </w:r>
      <w:r w:rsidRPr="00D44C32">
        <w:rPr>
          <w:rFonts w:ascii="Garamond" w:hAnsi="Garamond" w:cs="Tahoma"/>
          <w:iCs/>
          <w:color w:val="000000" w:themeColor="text1"/>
          <w:sz w:val="24"/>
          <w:szCs w:val="24"/>
        </w:rPr>
        <w:t>initio litis e inaudita altera pars</w:t>
      </w:r>
      <w:r w:rsidRPr="00D44C32">
        <w:rPr>
          <w:rFonts w:ascii="Garamond" w:hAnsi="Garamond" w:cs="Tahoma"/>
          <w:color w:val="000000" w:themeColor="text1"/>
          <w:sz w:val="24"/>
          <w:szCs w:val="24"/>
        </w:rPr>
        <w:t>, compelindo a requerida à imediata aquisição e fornecimento do medicamento TEMODAL, em conformidade com a indicação médica, para o tratamento completo, juntamente com outros fármacos ou procedimentos clínicos que se façam necessários, sob pena de multa diária proporcional aos danos causados pela omissão ou recusa;</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3. Notificação para que a XXXXXXX faça o imediato ressarcimento dos valores já despendidos pelo paciente, dentro do procedimento de terapia prescrito pelo médico para o caso em comento;</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4. A citação da requerida para, querendo, responder à presente ação;</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5. Regulamentar consulta ao órgão ministerial;</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6. Ao final, a procedência total da ação proposta na exordial, confirmando os efeitos da antecipação da tutela anteriormente deferida, com a condenação da requerida, em definitivo, para cumprimento da prestação sobejamente discutida na presente peça, garantindo-se a gratuidade continuada ao impetrante;</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7. A condenação do réu ao ônus sucumbencial.</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Requer o direito de provar o alegado mediante todos os meios que são admitidos em Direito, em especial através dos documentos ora anexados.</w:t>
      </w:r>
    </w:p>
    <w:p w:rsidR="00DA7B1F" w:rsidRPr="00D44C32" w:rsidRDefault="00DA7B1F" w:rsidP="00D44C32">
      <w:pPr>
        <w:spacing w:line="360" w:lineRule="auto"/>
        <w:ind w:left="2268"/>
        <w:jc w:val="both"/>
        <w:rPr>
          <w:rFonts w:ascii="Garamond" w:hAnsi="Garamond" w:cs="Tahoma"/>
          <w:color w:val="000000" w:themeColor="text1"/>
          <w:sz w:val="24"/>
          <w:szCs w:val="24"/>
        </w:rPr>
      </w:pPr>
      <w:r w:rsidRPr="00D44C32">
        <w:rPr>
          <w:rFonts w:ascii="Garamond" w:hAnsi="Garamond" w:cs="Tahoma"/>
          <w:color w:val="000000" w:themeColor="text1"/>
          <w:sz w:val="24"/>
          <w:szCs w:val="24"/>
        </w:rPr>
        <w:t xml:space="preserve">Dá-se à causa o valor de </w:t>
      </w:r>
      <w:r w:rsidR="00966DE7" w:rsidRPr="00D44C32">
        <w:rPr>
          <w:rFonts w:ascii="Garamond" w:hAnsi="Garamond" w:cs="Tahoma"/>
          <w:color w:val="000000" w:themeColor="text1"/>
          <w:sz w:val="24"/>
          <w:szCs w:val="24"/>
        </w:rPr>
        <w:t>...</w:t>
      </w:r>
    </w:p>
    <w:p w:rsidR="00966DE7" w:rsidRPr="00D44C32" w:rsidRDefault="00966DE7" w:rsidP="00D44C32">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9" w:name="_Hlk482881190"/>
      <w:bookmarkStart w:id="10" w:name="_Hlk482880653"/>
      <w:r w:rsidRPr="00D44C32">
        <w:rPr>
          <w:rFonts w:ascii="Garamond" w:hAnsi="Garamond" w:cs="Tahoma"/>
          <w:spacing w:val="2"/>
        </w:rPr>
        <w:t xml:space="preserve">Nestes termos, </w:t>
      </w:r>
    </w:p>
    <w:p w:rsidR="00966DE7" w:rsidRPr="00D44C32" w:rsidRDefault="00966DE7" w:rsidP="00D44C32">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D44C32">
        <w:rPr>
          <w:rFonts w:ascii="Garamond" w:hAnsi="Garamond" w:cs="Tahoma"/>
          <w:spacing w:val="2"/>
        </w:rPr>
        <w:t>pede e espera deferimento.</w:t>
      </w:r>
    </w:p>
    <w:p w:rsidR="00966DE7" w:rsidRPr="00D44C32" w:rsidRDefault="00966DE7" w:rsidP="00D44C32">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D44C32">
        <w:rPr>
          <w:rFonts w:ascii="Garamond" w:hAnsi="Garamond" w:cs="Tahoma"/>
          <w:spacing w:val="2"/>
        </w:rPr>
        <w:lastRenderedPageBreak/>
        <w:t>... (Município – UF), ... (dia) de ... (mês) de ... (ano).</w:t>
      </w:r>
    </w:p>
    <w:p w:rsidR="00966DE7" w:rsidRPr="00D44C32" w:rsidRDefault="00966DE7" w:rsidP="00D44C32">
      <w:pPr>
        <w:shd w:val="clear" w:color="auto" w:fill="FFFFFF"/>
        <w:spacing w:line="360" w:lineRule="auto"/>
        <w:jc w:val="both"/>
        <w:rPr>
          <w:rFonts w:ascii="Garamond" w:hAnsi="Garamond" w:cs="Arial"/>
          <w:sz w:val="24"/>
          <w:szCs w:val="24"/>
          <w:lang w:eastAsia="pt-BR"/>
        </w:rPr>
      </w:pPr>
    </w:p>
    <w:p w:rsidR="00966DE7" w:rsidRPr="00D44C32" w:rsidRDefault="00966DE7" w:rsidP="00D44C32">
      <w:pPr>
        <w:spacing w:after="0" w:line="360" w:lineRule="auto"/>
        <w:ind w:left="1321" w:right="1281" w:hanging="10"/>
        <w:jc w:val="center"/>
        <w:rPr>
          <w:rFonts w:ascii="Garamond" w:hAnsi="Garamond" w:cs="Tahoma"/>
          <w:sz w:val="24"/>
          <w:szCs w:val="24"/>
        </w:rPr>
      </w:pPr>
      <w:r w:rsidRPr="00D44C32">
        <w:rPr>
          <w:rFonts w:ascii="Garamond" w:hAnsi="Garamond" w:cs="Tahoma"/>
          <w:b/>
          <w:sz w:val="24"/>
          <w:szCs w:val="24"/>
        </w:rPr>
        <w:t>ADVOGADO</w:t>
      </w:r>
    </w:p>
    <w:p w:rsidR="00966DE7" w:rsidRPr="00D44C32" w:rsidRDefault="00966DE7" w:rsidP="00D44C32">
      <w:pPr>
        <w:spacing w:after="0" w:line="360" w:lineRule="auto"/>
        <w:ind w:left="1321" w:right="1281" w:hanging="10"/>
        <w:jc w:val="center"/>
        <w:rPr>
          <w:rFonts w:ascii="Garamond" w:hAnsi="Garamond" w:cs="Tahoma"/>
          <w:sz w:val="24"/>
          <w:szCs w:val="24"/>
        </w:rPr>
      </w:pPr>
      <w:r w:rsidRPr="00D44C32">
        <w:rPr>
          <w:rFonts w:ascii="Garamond" w:hAnsi="Garamond" w:cs="Tahoma"/>
          <w:sz w:val="24"/>
          <w:szCs w:val="24"/>
        </w:rPr>
        <w:t>OAB n° .... - UF</w:t>
      </w:r>
    </w:p>
    <w:bookmarkEnd w:id="9"/>
    <w:p w:rsidR="00966DE7" w:rsidRPr="00D44C32" w:rsidRDefault="00966DE7" w:rsidP="00D44C32">
      <w:pPr>
        <w:spacing w:after="0" w:line="360" w:lineRule="auto"/>
        <w:ind w:left="30"/>
        <w:jc w:val="center"/>
        <w:rPr>
          <w:rFonts w:ascii="Garamond" w:hAnsi="Garamond" w:cs="Tahoma"/>
          <w:sz w:val="24"/>
          <w:szCs w:val="24"/>
        </w:rPr>
      </w:pPr>
    </w:p>
    <w:bookmarkEnd w:id="10"/>
    <w:p w:rsidR="00B97B4B" w:rsidRPr="00D44C32" w:rsidRDefault="00B97B4B" w:rsidP="00D44C32">
      <w:pPr>
        <w:spacing w:line="360" w:lineRule="auto"/>
        <w:jc w:val="both"/>
        <w:rPr>
          <w:rFonts w:ascii="Garamond" w:hAnsi="Garamond" w:cs="Tahoma"/>
          <w:color w:val="000000" w:themeColor="text1"/>
          <w:sz w:val="24"/>
          <w:szCs w:val="24"/>
        </w:rPr>
      </w:pPr>
    </w:p>
    <w:sectPr w:rsidR="00B97B4B" w:rsidRPr="00D44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60DB3"/>
    <w:rsid w:val="00083545"/>
    <w:rsid w:val="000874A9"/>
    <w:rsid w:val="00095672"/>
    <w:rsid w:val="0009775E"/>
    <w:rsid w:val="000F179D"/>
    <w:rsid w:val="00135810"/>
    <w:rsid w:val="00156F47"/>
    <w:rsid w:val="00200666"/>
    <w:rsid w:val="00234F59"/>
    <w:rsid w:val="00263860"/>
    <w:rsid w:val="00273892"/>
    <w:rsid w:val="002A1D08"/>
    <w:rsid w:val="002B0F9E"/>
    <w:rsid w:val="002C4313"/>
    <w:rsid w:val="00333420"/>
    <w:rsid w:val="003A4630"/>
    <w:rsid w:val="003B5C9C"/>
    <w:rsid w:val="00437726"/>
    <w:rsid w:val="0045563F"/>
    <w:rsid w:val="00457AEE"/>
    <w:rsid w:val="00535196"/>
    <w:rsid w:val="00557C29"/>
    <w:rsid w:val="005F43FF"/>
    <w:rsid w:val="0064678C"/>
    <w:rsid w:val="00673026"/>
    <w:rsid w:val="006872E0"/>
    <w:rsid w:val="006A4713"/>
    <w:rsid w:val="006A635F"/>
    <w:rsid w:val="006A65C6"/>
    <w:rsid w:val="007151A3"/>
    <w:rsid w:val="0072102A"/>
    <w:rsid w:val="00790599"/>
    <w:rsid w:val="00793506"/>
    <w:rsid w:val="007A2E47"/>
    <w:rsid w:val="007B2B3D"/>
    <w:rsid w:val="007B4273"/>
    <w:rsid w:val="0082346D"/>
    <w:rsid w:val="00867297"/>
    <w:rsid w:val="008A37FB"/>
    <w:rsid w:val="008C2E3D"/>
    <w:rsid w:val="00966DE7"/>
    <w:rsid w:val="00A2567B"/>
    <w:rsid w:val="00A329CC"/>
    <w:rsid w:val="00B23614"/>
    <w:rsid w:val="00B24CA3"/>
    <w:rsid w:val="00B97B4B"/>
    <w:rsid w:val="00BF7C4A"/>
    <w:rsid w:val="00C1256C"/>
    <w:rsid w:val="00C16D4D"/>
    <w:rsid w:val="00C52FF1"/>
    <w:rsid w:val="00C64429"/>
    <w:rsid w:val="00D44C32"/>
    <w:rsid w:val="00DA36B5"/>
    <w:rsid w:val="00DA7B1F"/>
    <w:rsid w:val="00E14AF3"/>
    <w:rsid w:val="00E85342"/>
    <w:rsid w:val="00E86B6D"/>
    <w:rsid w:val="00EC6118"/>
    <w:rsid w:val="00EE274C"/>
    <w:rsid w:val="00F63D31"/>
    <w:rsid w:val="00F71D74"/>
    <w:rsid w:val="00F83EC4"/>
    <w:rsid w:val="00F84A49"/>
    <w:rsid w:val="00F84FBE"/>
    <w:rsid w:val="00FB4B53"/>
    <w:rsid w:val="00FF3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F193"/>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7B1F"/>
    <w:rPr>
      <w:color w:val="0563C1" w:themeColor="hyperlink"/>
      <w:u w:val="single"/>
    </w:rPr>
  </w:style>
  <w:style w:type="character" w:styleId="Meno">
    <w:name w:val="Mention"/>
    <w:basedOn w:val="Fontepargpadro"/>
    <w:uiPriority w:val="99"/>
    <w:semiHidden/>
    <w:unhideWhenUsed/>
    <w:rsid w:val="00DA7B1F"/>
    <w:rPr>
      <w:color w:val="2B579A"/>
      <w:shd w:val="clear" w:color="auto" w:fill="E6E6E6"/>
    </w:rPr>
  </w:style>
  <w:style w:type="paragraph" w:styleId="NormalWeb">
    <w:name w:val="Normal (Web)"/>
    <w:basedOn w:val="Normal"/>
    <w:uiPriority w:val="99"/>
    <w:unhideWhenUsed/>
    <w:rsid w:val="00966DE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128206087">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58407697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83820732">
      <w:bodyDiv w:val="1"/>
      <w:marLeft w:val="0"/>
      <w:marRight w:val="0"/>
      <w:marTop w:val="0"/>
      <w:marBottom w:val="0"/>
      <w:divBdr>
        <w:top w:val="none" w:sz="0" w:space="0" w:color="auto"/>
        <w:left w:val="none" w:sz="0" w:space="0" w:color="auto"/>
        <w:bottom w:val="none" w:sz="0" w:space="0" w:color="auto"/>
        <w:right w:val="none" w:sz="0" w:space="0" w:color="auto"/>
      </w:divBdr>
    </w:div>
    <w:div w:id="692996621">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5059254">
      <w:bodyDiv w:val="1"/>
      <w:marLeft w:val="0"/>
      <w:marRight w:val="0"/>
      <w:marTop w:val="0"/>
      <w:marBottom w:val="0"/>
      <w:divBdr>
        <w:top w:val="none" w:sz="0" w:space="0" w:color="auto"/>
        <w:left w:val="none" w:sz="0" w:space="0" w:color="auto"/>
        <w:bottom w:val="none" w:sz="0" w:space="0" w:color="auto"/>
        <w:right w:val="none" w:sz="0" w:space="0" w:color="auto"/>
      </w:divBdr>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58984114">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67521862">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027481877">
      <w:bodyDiv w:val="1"/>
      <w:marLeft w:val="0"/>
      <w:marRight w:val="0"/>
      <w:marTop w:val="0"/>
      <w:marBottom w:val="0"/>
      <w:divBdr>
        <w:top w:val="none" w:sz="0" w:space="0" w:color="auto"/>
        <w:left w:val="none" w:sz="0" w:space="0" w:color="auto"/>
        <w:bottom w:val="none" w:sz="0" w:space="0" w:color="auto"/>
        <w:right w:val="none" w:sz="0" w:space="0" w:color="auto"/>
      </w:divBdr>
    </w:div>
    <w:div w:id="1048189229">
      <w:bodyDiv w:val="1"/>
      <w:marLeft w:val="0"/>
      <w:marRight w:val="0"/>
      <w:marTop w:val="0"/>
      <w:marBottom w:val="0"/>
      <w:divBdr>
        <w:top w:val="none" w:sz="0" w:space="0" w:color="auto"/>
        <w:left w:val="none" w:sz="0" w:space="0" w:color="auto"/>
        <w:bottom w:val="none" w:sz="0" w:space="0" w:color="auto"/>
        <w:right w:val="none" w:sz="0" w:space="0" w:color="auto"/>
      </w:divBdr>
    </w:div>
    <w:div w:id="1170289374">
      <w:bodyDiv w:val="1"/>
      <w:marLeft w:val="0"/>
      <w:marRight w:val="0"/>
      <w:marTop w:val="0"/>
      <w:marBottom w:val="0"/>
      <w:divBdr>
        <w:top w:val="none" w:sz="0" w:space="0" w:color="auto"/>
        <w:left w:val="none" w:sz="0" w:space="0" w:color="auto"/>
        <w:bottom w:val="none" w:sz="0" w:space="0" w:color="auto"/>
        <w:right w:val="none" w:sz="0" w:space="0" w:color="auto"/>
      </w:divBdr>
    </w:div>
    <w:div w:id="1221869495">
      <w:bodyDiv w:val="1"/>
      <w:marLeft w:val="0"/>
      <w:marRight w:val="0"/>
      <w:marTop w:val="0"/>
      <w:marBottom w:val="0"/>
      <w:divBdr>
        <w:top w:val="none" w:sz="0" w:space="0" w:color="auto"/>
        <w:left w:val="none" w:sz="0" w:space="0" w:color="auto"/>
        <w:bottom w:val="none" w:sz="0" w:space="0" w:color="auto"/>
        <w:right w:val="none" w:sz="0" w:space="0" w:color="auto"/>
      </w:divBdr>
    </w:div>
    <w:div w:id="1238711288">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08243225">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8916994">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04790219">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5749625">
      <w:bodyDiv w:val="1"/>
      <w:marLeft w:val="0"/>
      <w:marRight w:val="0"/>
      <w:marTop w:val="0"/>
      <w:marBottom w:val="0"/>
      <w:divBdr>
        <w:top w:val="none" w:sz="0" w:space="0" w:color="auto"/>
        <w:left w:val="none" w:sz="0" w:space="0" w:color="auto"/>
        <w:bottom w:val="none" w:sz="0" w:space="0" w:color="auto"/>
        <w:right w:val="none" w:sz="0" w:space="0" w:color="auto"/>
      </w:divBdr>
      <w:divsChild>
        <w:div w:id="1914897450">
          <w:blockQuote w:val="1"/>
          <w:marLeft w:val="0"/>
          <w:marRight w:val="0"/>
          <w:marTop w:val="0"/>
          <w:marBottom w:val="480"/>
          <w:divBdr>
            <w:top w:val="none" w:sz="0" w:space="0" w:color="auto"/>
            <w:left w:val="none" w:sz="0" w:space="0" w:color="auto"/>
            <w:bottom w:val="none" w:sz="0" w:space="0" w:color="auto"/>
            <w:right w:val="none" w:sz="0" w:space="0" w:color="auto"/>
          </w:divBdr>
        </w:div>
        <w:div w:id="1372533530">
          <w:blockQuote w:val="1"/>
          <w:marLeft w:val="0"/>
          <w:marRight w:val="0"/>
          <w:marTop w:val="0"/>
          <w:marBottom w:val="480"/>
          <w:divBdr>
            <w:top w:val="none" w:sz="0" w:space="0" w:color="auto"/>
            <w:left w:val="none" w:sz="0" w:space="0" w:color="auto"/>
            <w:bottom w:val="none" w:sz="0" w:space="0" w:color="auto"/>
            <w:right w:val="none" w:sz="0" w:space="0" w:color="auto"/>
          </w:divBdr>
        </w:div>
        <w:div w:id="77948075">
          <w:blockQuote w:val="1"/>
          <w:marLeft w:val="0"/>
          <w:marRight w:val="0"/>
          <w:marTop w:val="0"/>
          <w:marBottom w:val="480"/>
          <w:divBdr>
            <w:top w:val="none" w:sz="0" w:space="0" w:color="auto"/>
            <w:left w:val="none" w:sz="0" w:space="0" w:color="auto"/>
            <w:bottom w:val="none" w:sz="0" w:space="0" w:color="auto"/>
            <w:right w:val="none" w:sz="0" w:space="0" w:color="auto"/>
          </w:divBdr>
        </w:div>
        <w:div w:id="476073733">
          <w:blockQuote w:val="1"/>
          <w:marLeft w:val="0"/>
          <w:marRight w:val="0"/>
          <w:marTop w:val="0"/>
          <w:marBottom w:val="480"/>
          <w:divBdr>
            <w:top w:val="none" w:sz="0" w:space="0" w:color="auto"/>
            <w:left w:val="none" w:sz="0" w:space="0" w:color="auto"/>
            <w:bottom w:val="none" w:sz="0" w:space="0" w:color="auto"/>
            <w:right w:val="none" w:sz="0" w:space="0" w:color="auto"/>
          </w:divBdr>
        </w:div>
        <w:div w:id="12315660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74508903">
      <w:bodyDiv w:val="1"/>
      <w:marLeft w:val="0"/>
      <w:marRight w:val="0"/>
      <w:marTop w:val="0"/>
      <w:marBottom w:val="0"/>
      <w:divBdr>
        <w:top w:val="none" w:sz="0" w:space="0" w:color="auto"/>
        <w:left w:val="none" w:sz="0" w:space="0" w:color="auto"/>
        <w:bottom w:val="none" w:sz="0" w:space="0" w:color="auto"/>
        <w:right w:val="none" w:sz="0" w:space="0" w:color="auto"/>
      </w:divBdr>
    </w:div>
    <w:div w:id="1584603732">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3445731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601431/artigo-47-da-lei-n-8078-de-11-de-setembro-de-199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usbrasil.com.br/legislacao/1033833/lei-9656-98" TargetMode="External"/><Relationship Id="rId12" Type="http://schemas.openxmlformats.org/officeDocument/2006/relationships/hyperlink" Target="http://www.jusbrasil.com.br/legislacao/109499/lei-de-assist%C3%AAncia-judici%C3%A1ria-lei-1060-5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usbrasil.com.br/topicos/11332773/inciso-v-do-artigo-10-da-lei-n-9656-de-03-de-junho-de-1998" TargetMode="External"/><Relationship Id="rId11" Type="http://schemas.openxmlformats.org/officeDocument/2006/relationships/hyperlink" Target="http://www.jusbrasil.com.br/legislacao/91735/c%C3%B3digo-processo-civil-lei-5869-73" TargetMode="External"/><Relationship Id="rId5" Type="http://schemas.openxmlformats.org/officeDocument/2006/relationships/hyperlink" Target="http://www.jusbrasil.com.br/topicos/11332400/artigo-10-da-lei-n-9656-de-03-de-junho-de-1998" TargetMode="External"/><Relationship Id="rId10" Type="http://schemas.openxmlformats.org/officeDocument/2006/relationships/hyperlink" Target="http://www.jusbrasil.com.br/legislacao/91735/c%C3%B3digo-processo-civil-lei-5869-73" TargetMode="External"/><Relationship Id="rId4" Type="http://schemas.openxmlformats.org/officeDocument/2006/relationships/hyperlink" Target="http://www.jusbrasil.com.br/legislacao/1033833/lei-9656-98" TargetMode="External"/><Relationship Id="rId9" Type="http://schemas.openxmlformats.org/officeDocument/2006/relationships/hyperlink" Target="http://www.jusbrasil.com.br/legislacao/91585/c%C3%B3digo-de-defesa-do-consumidor-lei-8078-90"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2786</Words>
  <Characters>15050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4</cp:revision>
  <dcterms:created xsi:type="dcterms:W3CDTF">2017-05-27T22:34:00Z</dcterms:created>
  <dcterms:modified xsi:type="dcterms:W3CDTF">2019-06-06T02:47:00Z</dcterms:modified>
</cp:coreProperties>
</file>