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A5F" w:rsidRPr="002A51E1" w:rsidRDefault="00FB1A5F" w:rsidP="002A51E1">
      <w:pPr>
        <w:spacing w:line="360" w:lineRule="auto"/>
        <w:jc w:val="both"/>
        <w:rPr>
          <w:rFonts w:ascii="Garamond" w:hAnsi="Garamond" w:cs="Tahoma"/>
          <w:b/>
          <w:sz w:val="24"/>
          <w:szCs w:val="24"/>
        </w:rPr>
      </w:pPr>
      <w:r w:rsidRPr="002A51E1">
        <w:rPr>
          <w:rFonts w:ascii="Garamond" w:hAnsi="Garamond" w:cs="Tahoma"/>
          <w:b/>
          <w:sz w:val="24"/>
          <w:szCs w:val="24"/>
        </w:rPr>
        <w:t>JUIZ DE DIREITO DA CENTRAL DE INQUÉRITOS DA COMARCA DE ....</w:t>
      </w:r>
    </w:p>
    <w:p w:rsidR="00FB1A5F" w:rsidRPr="002A51E1" w:rsidRDefault="00FB1A5F" w:rsidP="002A51E1">
      <w:pPr>
        <w:spacing w:line="360" w:lineRule="auto"/>
        <w:jc w:val="both"/>
        <w:rPr>
          <w:rFonts w:ascii="Garamond" w:hAnsi="Garamond" w:cs="Tahoma"/>
          <w:b/>
          <w:sz w:val="24"/>
          <w:szCs w:val="24"/>
        </w:rPr>
      </w:pPr>
    </w:p>
    <w:p w:rsidR="00FB1A5F" w:rsidRPr="002A51E1" w:rsidRDefault="00FB1A5F" w:rsidP="002A51E1">
      <w:pPr>
        <w:spacing w:line="360" w:lineRule="auto"/>
        <w:jc w:val="both"/>
        <w:rPr>
          <w:rFonts w:ascii="Garamond" w:hAnsi="Garamond" w:cs="Tahoma"/>
          <w:b/>
          <w:sz w:val="24"/>
          <w:szCs w:val="24"/>
        </w:rPr>
      </w:pPr>
    </w:p>
    <w:p w:rsidR="00FB1A5F" w:rsidRPr="002A51E1" w:rsidRDefault="00FB1A5F" w:rsidP="002A51E1">
      <w:pPr>
        <w:spacing w:line="360" w:lineRule="auto"/>
        <w:jc w:val="both"/>
        <w:rPr>
          <w:rFonts w:ascii="Garamond" w:hAnsi="Garamond" w:cs="Tahoma"/>
          <w:b/>
          <w:sz w:val="24"/>
          <w:szCs w:val="24"/>
        </w:rPr>
      </w:pPr>
      <w:bookmarkStart w:id="0" w:name="_GoBack"/>
      <w:bookmarkEnd w:id="0"/>
    </w:p>
    <w:p w:rsidR="002A51E1" w:rsidRPr="002A51E1" w:rsidRDefault="002A51E1" w:rsidP="002A51E1">
      <w:pPr>
        <w:spacing w:line="360" w:lineRule="auto"/>
        <w:jc w:val="both"/>
        <w:rPr>
          <w:rStyle w:val="Forte"/>
          <w:rFonts w:ascii="Garamond" w:hAnsi="Garamond"/>
          <w:sz w:val="24"/>
          <w:szCs w:val="24"/>
        </w:rPr>
      </w:pPr>
      <w:r w:rsidRPr="002A51E1">
        <w:rPr>
          <w:rStyle w:val="Forte"/>
          <w:rFonts w:ascii="Garamond" w:hAnsi="Garamond"/>
          <w:sz w:val="24"/>
          <w:szCs w:val="24"/>
        </w:rPr>
        <w:t>Processo: ___________________</w:t>
      </w:r>
    </w:p>
    <w:p w:rsidR="002A51E1" w:rsidRPr="002A51E1" w:rsidRDefault="002A51E1" w:rsidP="002A51E1">
      <w:pPr>
        <w:spacing w:line="360" w:lineRule="auto"/>
        <w:jc w:val="both"/>
        <w:rPr>
          <w:rStyle w:val="Forte"/>
          <w:rFonts w:ascii="Garamond" w:hAnsi="Garamond"/>
          <w:sz w:val="24"/>
          <w:szCs w:val="24"/>
        </w:rPr>
      </w:pPr>
      <w:r w:rsidRPr="002A51E1">
        <w:rPr>
          <w:rStyle w:val="Forte"/>
          <w:rFonts w:ascii="Garamond" w:hAnsi="Garamond"/>
          <w:sz w:val="24"/>
          <w:szCs w:val="24"/>
        </w:rPr>
        <w:t>Indiciado: __________________</w:t>
      </w:r>
    </w:p>
    <w:p w:rsidR="002A51E1" w:rsidRPr="002A51E1" w:rsidRDefault="002A51E1" w:rsidP="002A51E1">
      <w:pPr>
        <w:spacing w:line="360" w:lineRule="auto"/>
        <w:jc w:val="both"/>
        <w:rPr>
          <w:rStyle w:val="Forte"/>
          <w:rFonts w:ascii="Garamond" w:hAnsi="Garamond"/>
          <w:sz w:val="24"/>
          <w:szCs w:val="24"/>
        </w:rPr>
      </w:pPr>
      <w:r w:rsidRPr="002A51E1">
        <w:rPr>
          <w:rStyle w:val="Forte"/>
          <w:rFonts w:ascii="Garamond" w:hAnsi="Garamond"/>
          <w:sz w:val="24"/>
          <w:szCs w:val="24"/>
        </w:rPr>
        <w:t>Assunto: _______</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jc w:val="both"/>
        <w:rPr>
          <w:rFonts w:ascii="Garamond" w:hAnsi="Garamond" w:cs="Tahoma"/>
          <w:b/>
          <w:sz w:val="24"/>
          <w:szCs w:val="24"/>
        </w:rPr>
      </w:pPr>
      <w:r w:rsidRPr="002A51E1">
        <w:rPr>
          <w:rFonts w:ascii="Garamond" w:hAnsi="Garamond" w:cs="Tahoma"/>
          <w:b/>
          <w:sz w:val="24"/>
          <w:szCs w:val="24"/>
        </w:rPr>
        <w:t>ALEGAÇÕES FINAIS (art. 500, CPP)</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jc w:val="both"/>
        <w:rPr>
          <w:rFonts w:ascii="Garamond" w:hAnsi="Garamond" w:cs="Tahoma"/>
          <w:sz w:val="24"/>
          <w:szCs w:val="24"/>
        </w:rPr>
      </w:pPr>
      <w:r w:rsidRPr="002A51E1">
        <w:rPr>
          <w:rFonts w:ascii="Garamond" w:hAnsi="Garamond" w:cs="Tahoma"/>
          <w:sz w:val="24"/>
          <w:szCs w:val="24"/>
        </w:rPr>
        <w:t>1</w:t>
      </w:r>
      <w:r w:rsidRPr="002A51E1">
        <w:rPr>
          <w:rFonts w:ascii="Garamond" w:hAnsi="Garamond" w:cs="Tahoma"/>
          <w:b/>
          <w:sz w:val="24"/>
          <w:szCs w:val="24"/>
        </w:rPr>
        <w:t>. .... e ....</w:t>
      </w:r>
      <w:r w:rsidR="00261FDC" w:rsidRPr="002A51E1">
        <w:rPr>
          <w:rFonts w:ascii="Garamond" w:hAnsi="Garamond" w:cs="Tahoma"/>
          <w:b/>
          <w:sz w:val="24"/>
          <w:szCs w:val="24"/>
        </w:rPr>
        <w:t xml:space="preserve"> (nome das partes em negrito)</w:t>
      </w:r>
      <w:r w:rsidRPr="002A51E1">
        <w:rPr>
          <w:rFonts w:ascii="Garamond" w:hAnsi="Garamond" w:cs="Tahoma"/>
          <w:b/>
          <w:sz w:val="24"/>
          <w:szCs w:val="24"/>
        </w:rPr>
        <w:t>,</w:t>
      </w:r>
      <w:r w:rsidRPr="002A51E1">
        <w:rPr>
          <w:rFonts w:ascii="Garamond" w:hAnsi="Garamond" w:cs="Tahoma"/>
          <w:sz w:val="24"/>
          <w:szCs w:val="24"/>
        </w:rPr>
        <w:t xml:space="preserve"> foram denunciados como incursos nas sanções do art. 155, parágrafo 4º, incisos I e IV, c/c o art. 25 (atual 29), ambos do Código Penal, isto porque, em síntese, no dia .... do mês de .... do corrente ano, em horário não precisado, de comum acordo, subtraíram para eles, do interior do escritório da vítima, ...., os bens descritos no auto de apreensão de fls. ....</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jc w:val="both"/>
        <w:rPr>
          <w:rFonts w:ascii="Garamond" w:hAnsi="Garamond" w:cs="Tahoma"/>
          <w:sz w:val="24"/>
          <w:szCs w:val="24"/>
        </w:rPr>
      </w:pPr>
      <w:r w:rsidRPr="002A51E1">
        <w:rPr>
          <w:rFonts w:ascii="Garamond" w:hAnsi="Garamond" w:cs="Tahoma"/>
          <w:sz w:val="24"/>
          <w:szCs w:val="24"/>
        </w:rPr>
        <w:t>2. Encerrada a instrução criminal, a nosso ver, procede a acusação.</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ind w:firstLine="708"/>
        <w:jc w:val="both"/>
        <w:rPr>
          <w:rFonts w:ascii="Garamond" w:hAnsi="Garamond" w:cs="Tahoma"/>
          <w:sz w:val="24"/>
          <w:szCs w:val="24"/>
        </w:rPr>
      </w:pPr>
      <w:r w:rsidRPr="002A51E1">
        <w:rPr>
          <w:rFonts w:ascii="Garamond" w:hAnsi="Garamond" w:cs="Tahoma"/>
          <w:sz w:val="24"/>
          <w:szCs w:val="24"/>
        </w:rPr>
        <w:t>Com efeito, o acusado ...., ao ser ouvido na fase indiciária, confessou o delito. Com ele também foram encontrados os objetos apreendidos às fls. .... Parte desses objetos, ressalte-se, foram reconhecidos como pertencentes à vítima (fls. ....).</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ind w:firstLine="708"/>
        <w:jc w:val="both"/>
        <w:rPr>
          <w:rFonts w:ascii="Garamond" w:hAnsi="Garamond" w:cs="Tahoma"/>
          <w:sz w:val="24"/>
          <w:szCs w:val="24"/>
        </w:rPr>
      </w:pPr>
      <w:r w:rsidRPr="002A51E1">
        <w:rPr>
          <w:rFonts w:ascii="Garamond" w:hAnsi="Garamond" w:cs="Tahoma"/>
          <w:sz w:val="24"/>
          <w:szCs w:val="24"/>
        </w:rPr>
        <w:t>Assim, a alegação do réu .... de permanecer somente presenciando o co-acusado, ...., à distância, sem cometer o delito, refoge à lógica. Ademais, repita-se, com o acusado ...., foram encontradas as "res furtivas".</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ind w:firstLine="708"/>
        <w:jc w:val="both"/>
        <w:rPr>
          <w:rFonts w:ascii="Garamond" w:hAnsi="Garamond" w:cs="Tahoma"/>
          <w:sz w:val="24"/>
          <w:szCs w:val="24"/>
        </w:rPr>
      </w:pPr>
      <w:r w:rsidRPr="002A51E1">
        <w:rPr>
          <w:rFonts w:ascii="Garamond" w:hAnsi="Garamond" w:cs="Tahoma"/>
          <w:sz w:val="24"/>
          <w:szCs w:val="24"/>
        </w:rPr>
        <w:t>No que tange à participação do acusado ...., face todos os indícios compilados, os quais são corroborados pela confissão do co-Réu, bem assim pelo seu desaparecimento do distrito da culpa, logo após a prática do delito, leva, seguramente, à sua responsabilidade.</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ind w:firstLine="708"/>
        <w:jc w:val="both"/>
        <w:rPr>
          <w:rFonts w:ascii="Garamond" w:hAnsi="Garamond" w:cs="Tahoma"/>
          <w:sz w:val="24"/>
          <w:szCs w:val="24"/>
        </w:rPr>
      </w:pPr>
      <w:r w:rsidRPr="002A51E1">
        <w:rPr>
          <w:rFonts w:ascii="Garamond" w:hAnsi="Garamond" w:cs="Tahoma"/>
          <w:sz w:val="24"/>
          <w:szCs w:val="24"/>
        </w:rPr>
        <w:t>As qualificadoras, de outra parte, restaram amplamente demonstradas. Uma, pelo laudo pericial de fls. ...., a outra, pela co-autoria.</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ind w:firstLine="708"/>
        <w:jc w:val="both"/>
        <w:rPr>
          <w:rFonts w:ascii="Garamond" w:hAnsi="Garamond" w:cs="Tahoma"/>
          <w:sz w:val="24"/>
          <w:szCs w:val="24"/>
        </w:rPr>
      </w:pPr>
      <w:r w:rsidRPr="002A51E1">
        <w:rPr>
          <w:rFonts w:ascii="Garamond" w:hAnsi="Garamond" w:cs="Tahoma"/>
          <w:sz w:val="24"/>
          <w:szCs w:val="24"/>
        </w:rPr>
        <w:t>Comporta assinalar, ao ensejo, que o acusado .... não é primário, conforme se verifica pela certidão de fls. ....</w:t>
      </w:r>
    </w:p>
    <w:p w:rsidR="00FB1A5F" w:rsidRPr="002A51E1" w:rsidRDefault="00FB1A5F" w:rsidP="002A51E1">
      <w:pPr>
        <w:spacing w:line="360" w:lineRule="auto"/>
        <w:jc w:val="both"/>
        <w:rPr>
          <w:rFonts w:ascii="Garamond" w:hAnsi="Garamond" w:cs="Tahoma"/>
          <w:sz w:val="24"/>
          <w:szCs w:val="24"/>
        </w:rPr>
      </w:pPr>
    </w:p>
    <w:p w:rsidR="00FB1A5F" w:rsidRPr="002A51E1" w:rsidRDefault="00FB1A5F" w:rsidP="002A51E1">
      <w:pPr>
        <w:spacing w:line="360" w:lineRule="auto"/>
        <w:jc w:val="both"/>
        <w:rPr>
          <w:rFonts w:ascii="Garamond" w:hAnsi="Garamond" w:cs="Tahoma"/>
          <w:sz w:val="24"/>
          <w:szCs w:val="24"/>
        </w:rPr>
      </w:pPr>
      <w:r w:rsidRPr="002A51E1">
        <w:rPr>
          <w:rFonts w:ascii="Garamond" w:hAnsi="Garamond" w:cs="Tahoma"/>
          <w:sz w:val="24"/>
          <w:szCs w:val="24"/>
        </w:rPr>
        <w:t>3. ISTO POSTO, provada a autoria e a materialidade do delito, ausentes quaisquer causas de exclusão do crime ou da culpabilidade, requeremos pela condenação dos acusados nas sanções dos artigos invocados na inicial.</w:t>
      </w:r>
    </w:p>
    <w:p w:rsidR="00FB1A5F" w:rsidRPr="002A51E1" w:rsidRDefault="00FB1A5F" w:rsidP="002A51E1">
      <w:pPr>
        <w:spacing w:line="360" w:lineRule="auto"/>
        <w:jc w:val="both"/>
        <w:rPr>
          <w:rFonts w:ascii="Garamond" w:hAnsi="Garamond" w:cs="Tahoma"/>
          <w:sz w:val="24"/>
          <w:szCs w:val="24"/>
        </w:rPr>
      </w:pPr>
    </w:p>
    <w:p w:rsidR="00261FDC" w:rsidRPr="002A51E1" w:rsidRDefault="00261FDC" w:rsidP="002A51E1">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2A51E1">
        <w:rPr>
          <w:rFonts w:ascii="Garamond" w:hAnsi="Garamond" w:cs="Tahoma"/>
          <w:spacing w:val="2"/>
        </w:rPr>
        <w:t xml:space="preserve">Nestes termos, </w:t>
      </w:r>
    </w:p>
    <w:p w:rsidR="00261FDC" w:rsidRPr="002A51E1" w:rsidRDefault="00261FDC" w:rsidP="002A51E1">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A51E1">
        <w:rPr>
          <w:rFonts w:ascii="Garamond" w:hAnsi="Garamond" w:cs="Tahoma"/>
          <w:spacing w:val="2"/>
        </w:rPr>
        <w:t>pede e espera deferimento.</w:t>
      </w:r>
    </w:p>
    <w:p w:rsidR="00261FDC" w:rsidRPr="002A51E1" w:rsidRDefault="00261FDC" w:rsidP="002A51E1">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A51E1">
        <w:rPr>
          <w:rFonts w:ascii="Garamond" w:hAnsi="Garamond" w:cs="Tahoma"/>
          <w:spacing w:val="2"/>
        </w:rPr>
        <w:t>... (Município – UF), ... (dia) de ... (mês) de ... (ano).</w:t>
      </w:r>
    </w:p>
    <w:p w:rsidR="00261FDC" w:rsidRPr="002A51E1" w:rsidRDefault="00261FDC" w:rsidP="002A51E1">
      <w:pPr>
        <w:shd w:val="clear" w:color="auto" w:fill="FFFFFF"/>
        <w:spacing w:line="360" w:lineRule="auto"/>
        <w:jc w:val="both"/>
        <w:rPr>
          <w:rFonts w:ascii="Garamond" w:hAnsi="Garamond" w:cs="Arial"/>
          <w:sz w:val="20"/>
          <w:szCs w:val="20"/>
          <w:lang w:eastAsia="pt-BR"/>
        </w:rPr>
      </w:pPr>
    </w:p>
    <w:p w:rsidR="00261FDC" w:rsidRPr="002A51E1" w:rsidRDefault="00261FDC" w:rsidP="002A51E1">
      <w:pPr>
        <w:spacing w:after="0" w:line="360" w:lineRule="auto"/>
        <w:ind w:left="1321" w:right="1281" w:hanging="10"/>
        <w:jc w:val="both"/>
        <w:rPr>
          <w:rFonts w:ascii="Garamond" w:hAnsi="Garamond" w:cs="Tahoma"/>
          <w:sz w:val="24"/>
          <w:szCs w:val="24"/>
        </w:rPr>
      </w:pPr>
      <w:r w:rsidRPr="002A51E1">
        <w:rPr>
          <w:rFonts w:ascii="Garamond" w:hAnsi="Garamond" w:cs="Tahoma"/>
          <w:b/>
          <w:sz w:val="24"/>
          <w:szCs w:val="24"/>
        </w:rPr>
        <w:t>ADVOGADO</w:t>
      </w:r>
    </w:p>
    <w:p w:rsidR="00261FDC" w:rsidRPr="002A51E1" w:rsidRDefault="00261FDC" w:rsidP="002A51E1">
      <w:pPr>
        <w:spacing w:after="0" w:line="360" w:lineRule="auto"/>
        <w:ind w:left="1321" w:right="1281" w:hanging="10"/>
        <w:jc w:val="both"/>
        <w:rPr>
          <w:rFonts w:ascii="Garamond" w:hAnsi="Garamond" w:cs="Tahoma"/>
          <w:sz w:val="24"/>
          <w:szCs w:val="24"/>
        </w:rPr>
      </w:pPr>
      <w:r w:rsidRPr="002A51E1">
        <w:rPr>
          <w:rFonts w:ascii="Garamond" w:hAnsi="Garamond" w:cs="Tahoma"/>
          <w:sz w:val="24"/>
          <w:szCs w:val="24"/>
        </w:rPr>
        <w:t>OAB n° .... - UF</w:t>
      </w:r>
    </w:p>
    <w:bookmarkEnd w:id="1"/>
    <w:p w:rsidR="00261FDC" w:rsidRPr="002A51E1" w:rsidRDefault="00261FDC" w:rsidP="002A51E1">
      <w:pPr>
        <w:spacing w:after="0" w:line="360" w:lineRule="auto"/>
        <w:ind w:left="30"/>
        <w:jc w:val="both"/>
        <w:rPr>
          <w:rFonts w:ascii="Garamond" w:hAnsi="Garamond" w:cs="Tahoma"/>
          <w:sz w:val="24"/>
          <w:szCs w:val="24"/>
        </w:rPr>
      </w:pPr>
    </w:p>
    <w:bookmarkEnd w:id="2"/>
    <w:p w:rsidR="00B97B4B" w:rsidRPr="002A51E1" w:rsidRDefault="00B97B4B" w:rsidP="002A51E1">
      <w:pPr>
        <w:spacing w:line="360" w:lineRule="auto"/>
        <w:ind w:firstLine="708"/>
        <w:jc w:val="both"/>
        <w:rPr>
          <w:rFonts w:ascii="Garamond" w:hAnsi="Garamond" w:cs="Tahoma"/>
          <w:sz w:val="24"/>
          <w:szCs w:val="24"/>
        </w:rPr>
      </w:pPr>
    </w:p>
    <w:sectPr w:rsidR="00B97B4B" w:rsidRPr="002A5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2"/>
    <w:rsid w:val="00043FDB"/>
    <w:rsid w:val="000613F7"/>
    <w:rsid w:val="0006277A"/>
    <w:rsid w:val="00257F7D"/>
    <w:rsid w:val="00261FDC"/>
    <w:rsid w:val="002A51E1"/>
    <w:rsid w:val="002F417E"/>
    <w:rsid w:val="00460A9F"/>
    <w:rsid w:val="00741DEB"/>
    <w:rsid w:val="00757CD7"/>
    <w:rsid w:val="007D404E"/>
    <w:rsid w:val="007F265E"/>
    <w:rsid w:val="00900476"/>
    <w:rsid w:val="00A76631"/>
    <w:rsid w:val="00B31201"/>
    <w:rsid w:val="00B97B4B"/>
    <w:rsid w:val="00BD36DC"/>
    <w:rsid w:val="00C42301"/>
    <w:rsid w:val="00CF5B32"/>
    <w:rsid w:val="00EE5719"/>
    <w:rsid w:val="00EF4D80"/>
    <w:rsid w:val="00F557B0"/>
    <w:rsid w:val="00FB1A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4B48B-7C7B-408B-9232-97671B8B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61F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A5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865">
      <w:bodyDiv w:val="1"/>
      <w:marLeft w:val="0"/>
      <w:marRight w:val="0"/>
      <w:marTop w:val="0"/>
      <w:marBottom w:val="0"/>
      <w:divBdr>
        <w:top w:val="none" w:sz="0" w:space="0" w:color="auto"/>
        <w:left w:val="none" w:sz="0" w:space="0" w:color="auto"/>
        <w:bottom w:val="none" w:sz="0" w:space="0" w:color="auto"/>
        <w:right w:val="none" w:sz="0" w:space="0" w:color="auto"/>
      </w:divBdr>
    </w:div>
    <w:div w:id="2766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309</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2017-05-28T19:50:00Z</dcterms:created>
  <dcterms:modified xsi:type="dcterms:W3CDTF">2019-06-10T14:03:00Z</dcterms:modified>
</cp:coreProperties>
</file>