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6D9" w:rsidRPr="00132559" w:rsidRDefault="00790599" w:rsidP="00132559">
      <w:pPr>
        <w:spacing w:line="360" w:lineRule="auto"/>
        <w:jc w:val="center"/>
        <w:rPr>
          <w:rFonts w:ascii="Garamond" w:hAnsi="Garamond" w:cs="Tahoma"/>
          <w:b/>
          <w:bCs/>
          <w:color w:val="FF0000"/>
          <w:sz w:val="24"/>
          <w:szCs w:val="24"/>
        </w:rPr>
      </w:pPr>
      <w:bookmarkStart w:id="0" w:name="_GoBack"/>
      <w:r w:rsidRPr="00132559">
        <w:rPr>
          <w:rFonts w:ascii="Garamond" w:hAnsi="Garamond" w:cs="Tahoma"/>
          <w:b/>
          <w:bCs/>
          <w:color w:val="000000" w:themeColor="text1"/>
          <w:sz w:val="24"/>
          <w:szCs w:val="24"/>
        </w:rPr>
        <w:t xml:space="preserve">EXCELENTÍSSIMO </w:t>
      </w:r>
      <w:r w:rsidR="00132559" w:rsidRPr="00132559">
        <w:rPr>
          <w:rFonts w:ascii="Garamond" w:hAnsi="Garamond" w:cs="Tahoma"/>
          <w:b/>
          <w:bCs/>
          <w:color w:val="000000" w:themeColor="text1"/>
          <w:sz w:val="24"/>
          <w:szCs w:val="24"/>
        </w:rPr>
        <w:t xml:space="preserve">JUIZO </w:t>
      </w:r>
      <w:r w:rsidRPr="00132559">
        <w:rPr>
          <w:rFonts w:ascii="Garamond" w:hAnsi="Garamond" w:cs="Tahoma"/>
          <w:b/>
          <w:bCs/>
          <w:color w:val="000000" w:themeColor="text1"/>
          <w:sz w:val="24"/>
          <w:szCs w:val="24"/>
        </w:rPr>
        <w:t xml:space="preserve"> DO </w:t>
      </w:r>
      <w:r w:rsidR="00132559" w:rsidRPr="00132559">
        <w:rPr>
          <w:rFonts w:ascii="Garamond" w:hAnsi="Garamond" w:cs="Tahoma"/>
          <w:b/>
          <w:bCs/>
          <w:color w:val="000000" w:themeColor="text1"/>
          <w:sz w:val="24"/>
          <w:szCs w:val="24"/>
        </w:rPr>
        <w:t>_____</w:t>
      </w:r>
      <w:r w:rsidRPr="00132559">
        <w:rPr>
          <w:rFonts w:ascii="Garamond" w:hAnsi="Garamond" w:cs="Tahoma"/>
          <w:b/>
          <w:bCs/>
          <w:color w:val="000000" w:themeColor="text1"/>
          <w:sz w:val="24"/>
          <w:szCs w:val="24"/>
        </w:rPr>
        <w:t xml:space="preserve"> JUIZADO ESPECIAL </w:t>
      </w:r>
      <w:r w:rsidR="00132559" w:rsidRPr="00132559">
        <w:rPr>
          <w:rFonts w:ascii="Garamond" w:hAnsi="Garamond" w:cs="Tahoma"/>
          <w:b/>
          <w:bCs/>
          <w:color w:val="000000" w:themeColor="text1"/>
          <w:sz w:val="24"/>
          <w:szCs w:val="24"/>
        </w:rPr>
        <w:t xml:space="preserve">DA COMARCA DE ____ ESTADO DE _____ </w:t>
      </w:r>
      <w:r w:rsidR="00132559" w:rsidRPr="00132559">
        <w:rPr>
          <w:rFonts w:ascii="Garamond" w:hAnsi="Garamond" w:cs="Tahoma"/>
          <w:b/>
          <w:bCs/>
          <w:color w:val="FF0000"/>
          <w:sz w:val="24"/>
          <w:szCs w:val="24"/>
        </w:rPr>
        <w:t>ATENÇÃO SE O BANCO FOR A CAIXA ECONOMICA, COMPETENCIA E DA JUSTIÇA FEDERAL</w:t>
      </w:r>
    </w:p>
    <w:p w:rsidR="00132559" w:rsidRPr="00132559" w:rsidRDefault="00132559" w:rsidP="00132559">
      <w:pPr>
        <w:spacing w:line="360" w:lineRule="auto"/>
        <w:jc w:val="center"/>
        <w:rPr>
          <w:rFonts w:ascii="Garamond" w:hAnsi="Garamond" w:cs="Tahoma"/>
          <w:b/>
          <w:bCs/>
          <w:color w:val="FF0000"/>
          <w:sz w:val="24"/>
          <w:szCs w:val="24"/>
        </w:rPr>
      </w:pPr>
    </w:p>
    <w:p w:rsidR="00132559" w:rsidRPr="00132559" w:rsidRDefault="00132559" w:rsidP="00132559">
      <w:pPr>
        <w:spacing w:line="360" w:lineRule="auto"/>
        <w:jc w:val="center"/>
        <w:rPr>
          <w:rFonts w:ascii="Garamond" w:hAnsi="Garamond" w:cs="Tahoma"/>
          <w:color w:val="FF0000"/>
          <w:sz w:val="24"/>
          <w:szCs w:val="24"/>
        </w:rPr>
      </w:pPr>
    </w:p>
    <w:p w:rsidR="00E946D9" w:rsidRPr="00132559" w:rsidRDefault="00E946D9" w:rsidP="00132559">
      <w:pPr>
        <w:pStyle w:val="NormalWeb"/>
        <w:shd w:val="clear" w:color="auto" w:fill="FFFFFF"/>
        <w:spacing w:before="240" w:beforeAutospacing="0" w:after="0" w:afterAutospacing="0" w:line="360" w:lineRule="auto"/>
        <w:jc w:val="both"/>
        <w:rPr>
          <w:rFonts w:ascii="Garamond" w:hAnsi="Garamond" w:cs="Tahoma"/>
          <w:spacing w:val="2"/>
        </w:rPr>
      </w:pPr>
      <w:bookmarkStart w:id="1" w:name="_Hlk483585066"/>
      <w:bookmarkStart w:id="2" w:name="_Hlk483244742"/>
      <w:bookmarkStart w:id="3" w:name="_Hlk482884762"/>
      <w:r w:rsidRPr="00132559">
        <w:rPr>
          <w:rFonts w:ascii="Garamond" w:hAnsi="Garamond" w:cs="Tahoma"/>
          <w:b/>
          <w:bCs/>
          <w:spacing w:val="2"/>
        </w:rPr>
        <w:t xml:space="preserve">... </w:t>
      </w:r>
      <w:bookmarkStart w:id="4" w:name="_Hlk483244763"/>
      <w:r w:rsidRPr="00132559">
        <w:rPr>
          <w:rFonts w:ascii="Garamond" w:hAnsi="Garamond" w:cs="Tahoma"/>
          <w:b/>
          <w:bCs/>
          <w:spacing w:val="2"/>
        </w:rPr>
        <w:t>(nome completo em negrito da parte)</w:t>
      </w:r>
      <w:bookmarkEnd w:id="1"/>
      <w:r w:rsidRPr="00132559">
        <w:rPr>
          <w:rFonts w:ascii="Garamond" w:hAnsi="Garamond" w:cs="Tahoma"/>
          <w:spacing w:val="2"/>
        </w:rPr>
        <w:t xml:space="preserve">, ... (nacionalidade), ... (estado civil), ... (profissão), portador do CPF/MF nº ..., com Documento de Identidade de n° ..., residente e domiciliado na </w:t>
      </w:r>
      <w:bookmarkStart w:id="5" w:name="_Hlk482693071"/>
      <w:r w:rsidRPr="00132559">
        <w:rPr>
          <w:rFonts w:ascii="Garamond" w:hAnsi="Garamond" w:cs="Tahoma"/>
          <w:spacing w:val="2"/>
        </w:rPr>
        <w:t>Rua ..., n. ..., ... (bairro), CE</w:t>
      </w:r>
      <w:bookmarkEnd w:id="4"/>
      <w:r w:rsidRPr="00132559">
        <w:rPr>
          <w:rFonts w:ascii="Garamond" w:hAnsi="Garamond" w:cs="Tahoma"/>
          <w:spacing w:val="2"/>
        </w:rPr>
        <w:t>P: ..., ... (Município – UF)</w:t>
      </w:r>
      <w:bookmarkEnd w:id="5"/>
      <w:r w:rsidRPr="00132559">
        <w:rPr>
          <w:rFonts w:ascii="Garamond" w:hAnsi="Garamond" w:cs="Tahoma"/>
          <w:spacing w:val="2"/>
        </w:rPr>
        <w:t xml:space="preserve">, </w:t>
      </w:r>
      <w:bookmarkEnd w:id="2"/>
      <w:r w:rsidRPr="00132559">
        <w:rPr>
          <w:rFonts w:ascii="Garamond" w:hAnsi="Garamond" w:cs="Tahoma"/>
          <w:spacing w:val="2"/>
        </w:rPr>
        <w:t>vem respeitosamente perante a Vossa Excelência propor:</w:t>
      </w:r>
    </w:p>
    <w:bookmarkEnd w:id="3"/>
    <w:p w:rsidR="00E946D9" w:rsidRPr="00132559" w:rsidRDefault="00E946D9" w:rsidP="00132559">
      <w:pPr>
        <w:spacing w:line="360" w:lineRule="auto"/>
        <w:jc w:val="center"/>
        <w:rPr>
          <w:rFonts w:ascii="Garamond" w:hAnsi="Garamond" w:cs="Tahoma"/>
          <w:b/>
          <w:bCs/>
          <w:color w:val="000000" w:themeColor="text1"/>
          <w:sz w:val="24"/>
          <w:szCs w:val="24"/>
        </w:rPr>
      </w:pPr>
    </w:p>
    <w:p w:rsidR="00E946D9" w:rsidRPr="00132559" w:rsidRDefault="00790599" w:rsidP="00132559">
      <w:pPr>
        <w:spacing w:line="360" w:lineRule="auto"/>
        <w:jc w:val="center"/>
        <w:rPr>
          <w:rFonts w:ascii="Garamond" w:hAnsi="Garamond" w:cs="Tahoma"/>
          <w:b/>
          <w:bCs/>
          <w:color w:val="000000" w:themeColor="text1"/>
          <w:sz w:val="24"/>
          <w:szCs w:val="24"/>
        </w:rPr>
      </w:pPr>
      <w:r w:rsidRPr="00132559">
        <w:rPr>
          <w:rFonts w:ascii="Garamond" w:hAnsi="Garamond" w:cs="Tahoma"/>
          <w:b/>
          <w:bCs/>
          <w:color w:val="000000" w:themeColor="text1"/>
          <w:sz w:val="24"/>
          <w:szCs w:val="24"/>
        </w:rPr>
        <w:t>AÇÃO D</w:t>
      </w:r>
      <w:r w:rsidR="00E946D9" w:rsidRPr="00132559">
        <w:rPr>
          <w:rFonts w:ascii="Garamond" w:hAnsi="Garamond" w:cs="Tahoma"/>
          <w:b/>
          <w:bCs/>
          <w:color w:val="000000" w:themeColor="text1"/>
          <w:sz w:val="24"/>
          <w:szCs w:val="24"/>
        </w:rPr>
        <w:t>E INDENIZAÇÃO POR DANOS MORAIS</w:t>
      </w:r>
    </w:p>
    <w:p w:rsidR="00E946D9" w:rsidRPr="00132559" w:rsidRDefault="00E946D9" w:rsidP="00132559">
      <w:pPr>
        <w:pStyle w:val="NormalWeb"/>
        <w:shd w:val="clear" w:color="auto" w:fill="FFFFFF"/>
        <w:tabs>
          <w:tab w:val="left" w:pos="5400"/>
        </w:tabs>
        <w:spacing w:line="360" w:lineRule="auto"/>
        <w:jc w:val="both"/>
        <w:rPr>
          <w:rFonts w:ascii="Garamond" w:hAnsi="Garamond" w:cs="Tahoma"/>
          <w:spacing w:val="2"/>
        </w:rPr>
      </w:pPr>
      <w:bookmarkStart w:id="6" w:name="_Hlk483225481"/>
      <w:bookmarkStart w:id="7" w:name="_Hlk482884621"/>
      <w:bookmarkStart w:id="8" w:name="_Hlk482886533"/>
      <w:r w:rsidRPr="00132559">
        <w:rPr>
          <w:rFonts w:ascii="Garamond" w:hAnsi="Garamond" w:cs="Tahoma"/>
          <w:spacing w:val="2"/>
        </w:rPr>
        <w:t xml:space="preserve">em face de </w:t>
      </w:r>
      <w:bookmarkStart w:id="9" w:name="_Hlk483247544"/>
      <w:r w:rsidRPr="00132559">
        <w:rPr>
          <w:rFonts w:ascii="Garamond" w:hAnsi="Garamond" w:cs="Tahoma"/>
          <w:b/>
          <w:spacing w:val="2"/>
        </w:rPr>
        <w:t>... (nome em negrito da parte)</w:t>
      </w:r>
      <w:r w:rsidRPr="00132559">
        <w:rPr>
          <w:rFonts w:ascii="Garamond" w:hAnsi="Garamond" w:cs="Tahoma"/>
          <w:spacing w:val="2"/>
        </w:rPr>
        <w:t>, ... (indicar se é pessoa física ou jurídica), com CPF/CNPJ de n. ..., com sede na Rua ..., n. ..., ... (bairro), CEP: ..., ... (Município– UF)</w:t>
      </w:r>
      <w:bookmarkEnd w:id="6"/>
      <w:r w:rsidRPr="00132559">
        <w:rPr>
          <w:rFonts w:ascii="Garamond" w:hAnsi="Garamond" w:cs="Tahoma"/>
          <w:spacing w:val="2"/>
        </w:rPr>
        <w:t>, pelas razões de fato e de direito que passa a aduzir e no final requer.:</w:t>
      </w:r>
    </w:p>
    <w:p w:rsidR="00132559" w:rsidRPr="00132559" w:rsidRDefault="00132559" w:rsidP="00132559">
      <w:pPr>
        <w:pStyle w:val="NormalWeb"/>
        <w:shd w:val="clear" w:color="auto" w:fill="FFFFFF"/>
        <w:tabs>
          <w:tab w:val="left" w:pos="5400"/>
        </w:tabs>
        <w:spacing w:line="360" w:lineRule="auto"/>
        <w:jc w:val="both"/>
        <w:rPr>
          <w:rFonts w:ascii="Garamond" w:hAnsi="Garamond" w:cs="Tahoma"/>
          <w:spacing w:val="2"/>
        </w:rPr>
      </w:pPr>
    </w:p>
    <w:p w:rsidR="00132559" w:rsidRPr="00132559" w:rsidRDefault="00132559" w:rsidP="00132559">
      <w:pPr>
        <w:pStyle w:val="NormalWeb"/>
        <w:shd w:val="clear" w:color="auto" w:fill="FFFFFF"/>
        <w:tabs>
          <w:tab w:val="left" w:pos="5400"/>
        </w:tabs>
        <w:spacing w:line="360" w:lineRule="auto"/>
        <w:jc w:val="both"/>
        <w:rPr>
          <w:rFonts w:ascii="Garamond" w:hAnsi="Garamond" w:cs="Tahoma"/>
          <w:spacing w:val="2"/>
        </w:rPr>
      </w:pPr>
    </w:p>
    <w:p w:rsidR="00132559" w:rsidRPr="00132559" w:rsidRDefault="00132559" w:rsidP="00132559">
      <w:pPr>
        <w:spacing w:line="360" w:lineRule="auto"/>
        <w:rPr>
          <w:rFonts w:ascii="Garamond" w:hAnsi="Garamond"/>
          <w:b/>
          <w:color w:val="000000"/>
          <w:sz w:val="24"/>
          <w:szCs w:val="24"/>
          <w:u w:val="single"/>
        </w:rPr>
      </w:pPr>
      <w:r w:rsidRPr="00132559">
        <w:rPr>
          <w:rFonts w:ascii="Garamond" w:hAnsi="Garamond"/>
          <w:b/>
          <w:color w:val="000000"/>
          <w:sz w:val="24"/>
          <w:szCs w:val="24"/>
          <w:u w:val="single"/>
        </w:rPr>
        <w:t>JUSTIÇA GRATUITA:</w:t>
      </w:r>
    </w:p>
    <w:p w:rsidR="00132559" w:rsidRPr="00132559" w:rsidRDefault="00132559" w:rsidP="00132559">
      <w:pPr>
        <w:spacing w:line="360" w:lineRule="auto"/>
        <w:rPr>
          <w:rFonts w:ascii="Garamond" w:hAnsi="Garamond"/>
          <w:color w:val="000000"/>
          <w:sz w:val="24"/>
          <w:szCs w:val="24"/>
        </w:rPr>
      </w:pPr>
    </w:p>
    <w:p w:rsidR="00132559" w:rsidRPr="00132559" w:rsidRDefault="00132559" w:rsidP="00132559">
      <w:pPr>
        <w:spacing w:line="360" w:lineRule="auto"/>
        <w:rPr>
          <w:rFonts w:ascii="Garamond" w:hAnsi="Garamond"/>
          <w:color w:val="000000"/>
          <w:sz w:val="24"/>
          <w:szCs w:val="24"/>
        </w:rPr>
      </w:pPr>
      <w:r w:rsidRPr="00132559">
        <w:rPr>
          <w:rFonts w:ascii="Garamond" w:hAnsi="Garamond"/>
          <w:color w:val="000000"/>
          <w:sz w:val="24"/>
          <w:szCs w:val="24"/>
        </w:rPr>
        <w:tab/>
        <w:t>O requerente valendo-se da legislação, </w:t>
      </w:r>
      <w:r w:rsidRPr="00132559">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132559">
        <w:rPr>
          <w:rFonts w:ascii="Garamond" w:hAnsi="Garamond"/>
          <w:color w:val="000000"/>
          <w:sz w:val="24"/>
          <w:szCs w:val="24"/>
        </w:rPr>
        <w:t>.</w:t>
      </w:r>
    </w:p>
    <w:p w:rsidR="00132559" w:rsidRPr="00132559" w:rsidRDefault="00132559" w:rsidP="00132559">
      <w:pPr>
        <w:spacing w:line="360" w:lineRule="auto"/>
        <w:rPr>
          <w:rFonts w:ascii="Garamond" w:hAnsi="Garamond"/>
          <w:color w:val="000000"/>
          <w:sz w:val="24"/>
          <w:szCs w:val="24"/>
        </w:rPr>
      </w:pPr>
    </w:p>
    <w:p w:rsidR="00132559" w:rsidRPr="00132559" w:rsidRDefault="00132559" w:rsidP="00132559">
      <w:pPr>
        <w:spacing w:line="360" w:lineRule="auto"/>
        <w:rPr>
          <w:rFonts w:ascii="Garamond" w:hAnsi="Garamond"/>
          <w:color w:val="000000"/>
          <w:sz w:val="24"/>
          <w:szCs w:val="24"/>
        </w:rPr>
      </w:pPr>
      <w:r w:rsidRPr="00132559">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132559">
        <w:rPr>
          <w:rFonts w:ascii="Garamond" w:hAnsi="Garamond"/>
          <w:color w:val="000000"/>
          <w:sz w:val="24"/>
          <w:szCs w:val="24"/>
        </w:rPr>
        <w:tab/>
        <w:t>Nesse sentido trata o artigo 1º, parágrafo 2º, Lei 5.478/68:</w:t>
      </w:r>
    </w:p>
    <w:p w:rsidR="00132559" w:rsidRPr="00132559" w:rsidRDefault="00132559" w:rsidP="00132559">
      <w:pPr>
        <w:spacing w:line="360" w:lineRule="auto"/>
        <w:rPr>
          <w:rFonts w:ascii="Garamond" w:hAnsi="Garamond"/>
          <w:color w:val="000000"/>
          <w:sz w:val="24"/>
          <w:szCs w:val="24"/>
        </w:rPr>
      </w:pPr>
    </w:p>
    <w:p w:rsidR="00132559" w:rsidRPr="00132559" w:rsidRDefault="00132559" w:rsidP="00132559">
      <w:pPr>
        <w:spacing w:line="360" w:lineRule="auto"/>
        <w:ind w:left="2268" w:right="627"/>
        <w:rPr>
          <w:rFonts w:ascii="Garamond" w:hAnsi="Garamond"/>
          <w:color w:val="000000"/>
          <w:sz w:val="24"/>
          <w:szCs w:val="24"/>
        </w:rPr>
      </w:pPr>
      <w:r w:rsidRPr="00132559">
        <w:rPr>
          <w:rFonts w:ascii="Garamond" w:hAnsi="Garamond"/>
          <w:color w:val="000000"/>
          <w:sz w:val="24"/>
          <w:szCs w:val="24"/>
        </w:rPr>
        <w:lastRenderedPageBreak/>
        <w:t>“Art. 1º A ação de alimentos é de rito especial, independe de prévia distribuição e de anterior concessão do benefício de gratuidade.</w:t>
      </w:r>
    </w:p>
    <w:p w:rsidR="00132559" w:rsidRPr="00132559" w:rsidRDefault="00132559" w:rsidP="00132559">
      <w:pPr>
        <w:spacing w:line="360" w:lineRule="auto"/>
        <w:ind w:left="2268" w:right="627"/>
        <w:rPr>
          <w:rFonts w:ascii="Garamond" w:hAnsi="Garamond"/>
          <w:color w:val="000000"/>
          <w:sz w:val="24"/>
          <w:szCs w:val="24"/>
        </w:rPr>
      </w:pPr>
      <w:r w:rsidRPr="00132559">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132559" w:rsidRPr="00132559" w:rsidRDefault="00132559" w:rsidP="00132559">
      <w:pPr>
        <w:spacing w:line="360" w:lineRule="auto"/>
        <w:rPr>
          <w:rFonts w:ascii="Garamond" w:hAnsi="Garamond"/>
          <w:color w:val="000000"/>
          <w:sz w:val="24"/>
          <w:szCs w:val="24"/>
        </w:rPr>
      </w:pPr>
    </w:p>
    <w:p w:rsidR="00132559" w:rsidRPr="00132559" w:rsidRDefault="00132559" w:rsidP="00132559">
      <w:pPr>
        <w:spacing w:line="360" w:lineRule="auto"/>
        <w:rPr>
          <w:rFonts w:ascii="Garamond" w:hAnsi="Garamond"/>
          <w:color w:val="000000"/>
          <w:sz w:val="24"/>
          <w:szCs w:val="24"/>
        </w:rPr>
      </w:pPr>
      <w:r w:rsidRPr="00132559">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132559" w:rsidRPr="00132559" w:rsidRDefault="00132559" w:rsidP="00132559">
      <w:pPr>
        <w:shd w:val="clear" w:color="auto" w:fill="FFFFFF"/>
        <w:spacing w:after="324" w:line="360" w:lineRule="auto"/>
        <w:ind w:firstLine="708"/>
        <w:rPr>
          <w:rFonts w:ascii="Garamond" w:hAnsi="Garamond"/>
          <w:color w:val="000000"/>
          <w:sz w:val="24"/>
          <w:szCs w:val="24"/>
        </w:rPr>
      </w:pPr>
      <w:r w:rsidRPr="00132559">
        <w:rPr>
          <w:rFonts w:ascii="Garamond" w:hAnsi="Garamond"/>
          <w:color w:val="000000"/>
          <w:sz w:val="24"/>
          <w:szCs w:val="24"/>
        </w:rPr>
        <w:t>Nossos Tribunais têm-se manifestado positivamente acerca do assunto:</w:t>
      </w:r>
    </w:p>
    <w:p w:rsidR="00132559" w:rsidRPr="00132559" w:rsidRDefault="00132559" w:rsidP="00132559">
      <w:pPr>
        <w:shd w:val="clear" w:color="auto" w:fill="FFFFFF"/>
        <w:spacing w:after="324" w:line="360" w:lineRule="auto"/>
        <w:ind w:left="2268"/>
        <w:rPr>
          <w:rFonts w:ascii="Garamond" w:hAnsi="Garamond"/>
          <w:iCs/>
          <w:color w:val="000000"/>
          <w:sz w:val="24"/>
          <w:szCs w:val="24"/>
        </w:rPr>
      </w:pPr>
      <w:r w:rsidRPr="00132559">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132559" w:rsidRPr="00132559" w:rsidRDefault="00132559" w:rsidP="00132559">
      <w:pPr>
        <w:shd w:val="clear" w:color="auto" w:fill="FFFFFF"/>
        <w:spacing w:after="324" w:line="360" w:lineRule="auto"/>
        <w:ind w:left="2268"/>
        <w:rPr>
          <w:rFonts w:ascii="Garamond" w:hAnsi="Garamond"/>
          <w:color w:val="000000"/>
          <w:sz w:val="24"/>
          <w:szCs w:val="24"/>
        </w:rPr>
      </w:pPr>
    </w:p>
    <w:p w:rsidR="00132559" w:rsidRPr="00132559" w:rsidRDefault="00132559" w:rsidP="00132559">
      <w:pPr>
        <w:shd w:val="clear" w:color="auto" w:fill="FFFFFF"/>
        <w:spacing w:after="324" w:line="360" w:lineRule="auto"/>
        <w:ind w:firstLine="708"/>
        <w:rPr>
          <w:rFonts w:ascii="Garamond" w:hAnsi="Garamond"/>
          <w:color w:val="000000"/>
          <w:sz w:val="24"/>
          <w:szCs w:val="24"/>
        </w:rPr>
      </w:pPr>
      <w:r w:rsidRPr="00132559">
        <w:rPr>
          <w:rFonts w:ascii="Garamond" w:hAnsi="Garamond"/>
          <w:bCs/>
          <w:color w:val="000000"/>
          <w:sz w:val="24"/>
          <w:szCs w:val="24"/>
        </w:rPr>
        <w:t>Portanto, para a concessão do benefício da justiça gratuita, basta a simples afirmação da requerente de sua condição atual.</w:t>
      </w:r>
    </w:p>
    <w:p w:rsidR="00132559" w:rsidRPr="00132559" w:rsidRDefault="00132559" w:rsidP="00132559">
      <w:pPr>
        <w:shd w:val="clear" w:color="auto" w:fill="FFFFFF"/>
        <w:spacing w:after="324" w:line="360" w:lineRule="auto"/>
        <w:ind w:firstLine="708"/>
        <w:rPr>
          <w:rFonts w:ascii="Garamond" w:hAnsi="Garamond"/>
          <w:color w:val="000000"/>
          <w:sz w:val="24"/>
          <w:szCs w:val="24"/>
        </w:rPr>
      </w:pPr>
      <w:r w:rsidRPr="00132559">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132559" w:rsidRPr="00132559" w:rsidRDefault="00132559" w:rsidP="00132559">
      <w:pPr>
        <w:pStyle w:val="NormalWeb"/>
        <w:shd w:val="clear" w:color="auto" w:fill="FFFFFF"/>
        <w:tabs>
          <w:tab w:val="left" w:pos="5400"/>
        </w:tabs>
        <w:spacing w:line="360" w:lineRule="auto"/>
        <w:jc w:val="both"/>
        <w:rPr>
          <w:rFonts w:ascii="Garamond" w:hAnsi="Garamond" w:cs="Tahoma"/>
          <w:spacing w:val="2"/>
        </w:rPr>
      </w:pPr>
    </w:p>
    <w:bookmarkEnd w:id="7"/>
    <w:bookmarkEnd w:id="8"/>
    <w:bookmarkEnd w:id="9"/>
    <w:p w:rsidR="00790599" w:rsidRPr="00132559" w:rsidRDefault="00790599" w:rsidP="00132559">
      <w:pPr>
        <w:spacing w:line="360" w:lineRule="auto"/>
        <w:jc w:val="both"/>
        <w:rPr>
          <w:rFonts w:ascii="Garamond" w:hAnsi="Garamond" w:cs="Tahoma"/>
          <w:color w:val="000000" w:themeColor="text1"/>
          <w:sz w:val="24"/>
          <w:szCs w:val="24"/>
        </w:rPr>
      </w:pPr>
      <w:r w:rsidRPr="00132559">
        <w:rPr>
          <w:rFonts w:ascii="Garamond" w:hAnsi="Garamond" w:cs="Tahoma"/>
          <w:b/>
          <w:bCs/>
          <w:color w:val="000000" w:themeColor="text1"/>
          <w:sz w:val="24"/>
          <w:szCs w:val="24"/>
        </w:rPr>
        <w:t>DOS FATOS</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Narra a requerente que, no dia 26 de outubro de 2016, quando se encontrava de folga na casa de sua mãe na cidade de Itaguaçu/ES, viu-se surpreendida quando recebeu dois cartões de crédito de números: 5405 XXX (com validade até 10/2021) e 5405 XX (com validade até 10/2021), ambos com limite de R$ 2.000,00 (dois mil reais), enviados pela Requerida. Cumpre trazer à baila que a Requerida além de receber os cartões em sua folga, recebeu no endereço de sua mãe onde não reside há mais de 05 (cinco) anos.</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Entretanto, a requerente </w:t>
      </w:r>
      <w:r w:rsidRPr="00132559">
        <w:rPr>
          <w:rFonts w:ascii="Garamond" w:hAnsi="Garamond" w:cs="Tahoma"/>
          <w:b/>
          <w:bCs/>
          <w:color w:val="000000" w:themeColor="text1"/>
          <w:sz w:val="24"/>
          <w:szCs w:val="24"/>
        </w:rPr>
        <w:t>NUNCA</w:t>
      </w:r>
      <w:r w:rsidRPr="00132559">
        <w:rPr>
          <w:rFonts w:ascii="Garamond" w:hAnsi="Garamond" w:cs="Tahoma"/>
          <w:color w:val="000000" w:themeColor="text1"/>
          <w:sz w:val="24"/>
          <w:szCs w:val="24"/>
        </w:rPr>
        <w:t> solicitou qualquer cartão, nem tampouco utiliza qualquer serviço da requerida nesse sentido, de modo que, não efetuou o desbloqueio do aludido cartão e nem pretende fazê-lo. Pois, utiliza o cartão de crédito de outra instituição financeira.</w:t>
      </w:r>
    </w:p>
    <w:p w:rsidR="00790599" w:rsidRPr="00132559" w:rsidRDefault="00790599" w:rsidP="00132559">
      <w:pPr>
        <w:spacing w:line="360" w:lineRule="auto"/>
        <w:jc w:val="both"/>
        <w:rPr>
          <w:rFonts w:ascii="Garamond" w:hAnsi="Garamond" w:cs="Tahoma"/>
          <w:color w:val="000000" w:themeColor="text1"/>
          <w:sz w:val="24"/>
          <w:szCs w:val="24"/>
        </w:rPr>
      </w:pPr>
      <w:r w:rsidRPr="00132559">
        <w:rPr>
          <w:rFonts w:ascii="Garamond" w:hAnsi="Garamond" w:cs="Tahoma"/>
          <w:b/>
          <w:bCs/>
          <w:color w:val="000000" w:themeColor="text1"/>
          <w:sz w:val="24"/>
          <w:szCs w:val="24"/>
        </w:rPr>
        <w:t>DO DIREITO</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Não vem dos tempos hodiernos as táticas das instituições bancárias para angariar cada vez mais lucros, em detrimento dos consumidores. Analogicamente, como efeito de comparação para a adoção dessas táticas:</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Com relação às tarifas bancárias, as mesmas vêm crescendo continuamente. De acordo com o DIEESE, em 2005, a arrecadação de tarifas dos cinco maiores bancos (Banco do Brasil, Bradesco, Caixa Econômica Federal, Itaú e Unibanco) foi de R$ 29 bilhões, 18,7% a mais do que no ano anterior. As receitas de tarifas cobriram a folha de pagamento do referido ano com sobra de 21,8% (DIEESE, 2006). Hoje, as tarifas respondem por 20% do faturamento dos bancos (SINDIBANCARIOS, 2007b).</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No caso em comento, a Requerida incorre em descumprimento à lei consumerista e à boa-fé, no sentido de enviar cartão de crédito sem solicitação do consumidor.</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Não há dúvida de que a relação jurídica entre as partes é uma </w:t>
      </w:r>
      <w:r w:rsidRPr="00132559">
        <w:rPr>
          <w:rFonts w:ascii="Garamond" w:hAnsi="Garamond" w:cs="Tahoma"/>
          <w:b/>
          <w:bCs/>
          <w:color w:val="000000" w:themeColor="text1"/>
          <w:sz w:val="24"/>
          <w:szCs w:val="24"/>
        </w:rPr>
        <w:t>relação de consumo</w:t>
      </w:r>
      <w:r w:rsidRPr="00132559">
        <w:rPr>
          <w:rFonts w:ascii="Garamond" w:hAnsi="Garamond" w:cs="Tahoma"/>
          <w:color w:val="000000" w:themeColor="text1"/>
          <w:sz w:val="24"/>
          <w:szCs w:val="24"/>
        </w:rPr>
        <w:t>, envolvendo, de um lado, o consumidor (requerente) e o fornecedor do produto (requerida). Desta forma, a controvérsia instaurada nestes autos terá que ser decidida à luz das disposições do </w:t>
      </w:r>
      <w:hyperlink r:id="rId4" w:tooltip="Lei nº 8.078, de 11 de setembro de 1990." w:history="1">
        <w:r w:rsidRPr="00132559">
          <w:rPr>
            <w:rStyle w:val="Hyperlink"/>
            <w:rFonts w:ascii="Garamond" w:hAnsi="Garamond" w:cs="Tahoma"/>
            <w:color w:val="000000" w:themeColor="text1"/>
            <w:sz w:val="24"/>
            <w:szCs w:val="24"/>
            <w:u w:val="none"/>
          </w:rPr>
          <w:t>Código de Defesa do Consumidor</w:t>
        </w:r>
      </w:hyperlink>
      <w:r w:rsidRPr="00132559">
        <w:rPr>
          <w:rFonts w:ascii="Garamond" w:hAnsi="Garamond" w:cs="Tahoma"/>
          <w:color w:val="000000" w:themeColor="text1"/>
          <w:sz w:val="24"/>
          <w:szCs w:val="24"/>
        </w:rPr>
        <w:t>, especialmente do disposto em seu art. </w:t>
      </w:r>
      <w:hyperlink r:id="rId5" w:tooltip="Artigo 6 da Lei nº 8.078 de 11 de Setembro de 1990" w:history="1">
        <w:r w:rsidRPr="00132559">
          <w:rPr>
            <w:rStyle w:val="Hyperlink"/>
            <w:rFonts w:ascii="Garamond" w:hAnsi="Garamond" w:cs="Tahoma"/>
            <w:color w:val="000000" w:themeColor="text1"/>
            <w:sz w:val="24"/>
            <w:szCs w:val="24"/>
            <w:u w:val="none"/>
          </w:rPr>
          <w:t>6º</w:t>
        </w:r>
      </w:hyperlink>
      <w:r w:rsidRPr="00132559">
        <w:rPr>
          <w:rFonts w:ascii="Garamond" w:hAnsi="Garamond" w:cs="Tahoma"/>
          <w:color w:val="000000" w:themeColor="text1"/>
          <w:sz w:val="24"/>
          <w:szCs w:val="24"/>
        </w:rPr>
        <w:t>, </w:t>
      </w:r>
      <w:hyperlink r:id="rId6" w:tooltip="Inciso VIII do Artigo 6 da Lei nº 8.078 de 11 de Setembro de 1990" w:history="1">
        <w:r w:rsidRPr="00132559">
          <w:rPr>
            <w:rStyle w:val="Hyperlink"/>
            <w:rFonts w:ascii="Garamond" w:hAnsi="Garamond" w:cs="Tahoma"/>
            <w:color w:val="000000" w:themeColor="text1"/>
            <w:sz w:val="24"/>
            <w:szCs w:val="24"/>
            <w:u w:val="none"/>
          </w:rPr>
          <w:t>VIII</w:t>
        </w:r>
      </w:hyperlink>
      <w:r w:rsidRPr="00132559">
        <w:rPr>
          <w:rFonts w:ascii="Garamond" w:hAnsi="Garamond" w:cs="Tahoma"/>
          <w:color w:val="000000" w:themeColor="text1"/>
          <w:sz w:val="24"/>
          <w:szCs w:val="24"/>
        </w:rPr>
        <w:t>:</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t>Art. 6º. São direitos básicos do consumidor:</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lastRenderedPageBreak/>
        <w:t>VIII – a facilitação da defesa de seus direitos</w:t>
      </w:r>
      <w:r w:rsidRPr="00132559">
        <w:rPr>
          <w:rFonts w:ascii="Garamond" w:hAnsi="Garamond" w:cs="Tahoma"/>
          <w:b/>
          <w:bCs/>
          <w:iCs/>
          <w:color w:val="000000" w:themeColor="text1"/>
          <w:sz w:val="24"/>
          <w:szCs w:val="24"/>
        </w:rPr>
        <w:t>, inclusive com a inversão do ônus da prova, a seu favor, no processo civil, quando, a critério do juiz, for verossímil a alegação ou quando for ele hipossuficiente</w:t>
      </w:r>
      <w:r w:rsidRPr="00132559">
        <w:rPr>
          <w:rFonts w:ascii="Garamond" w:hAnsi="Garamond" w:cs="Tahoma"/>
          <w:iCs/>
          <w:color w:val="000000" w:themeColor="text1"/>
          <w:sz w:val="24"/>
          <w:szCs w:val="24"/>
        </w:rPr>
        <w:t>, segundo as regras ordinárias de experiência;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O </w:t>
      </w:r>
      <w:hyperlink r:id="rId7" w:tooltip="Lei nº 8.078, de 11 de setembro de 1990." w:history="1">
        <w:r w:rsidRPr="00132559">
          <w:rPr>
            <w:rStyle w:val="Hyperlink"/>
            <w:rFonts w:ascii="Garamond" w:hAnsi="Garamond" w:cs="Tahoma"/>
            <w:color w:val="000000" w:themeColor="text1"/>
            <w:sz w:val="24"/>
            <w:szCs w:val="24"/>
            <w:u w:val="none"/>
          </w:rPr>
          <w:t>Código de Defesa do Consumidor</w:t>
        </w:r>
      </w:hyperlink>
      <w:r w:rsidRPr="00132559">
        <w:rPr>
          <w:rFonts w:ascii="Garamond" w:hAnsi="Garamond" w:cs="Tahoma"/>
          <w:color w:val="000000" w:themeColor="text1"/>
          <w:sz w:val="24"/>
          <w:szCs w:val="24"/>
        </w:rPr>
        <w:t>, representando uma atualização do direito vigente e procurando amenizar a diferença de forças existentes entre polos processuais onde se tem num ponto, o consumidor, como figura vulnerável e noutro, o fornecedor, como detentor dos meios de prova que são muitas vezes buscados pelo primeiro, e às quais este não possui acesso, adotou teoria moderna onde se admite a inversão do ônus da prova justamente em face desta problemática.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Havendo uma relação onde está caracterizada a vulnerabilidade entre as partes, como de fato há, este deve ser agraciado com as normas atinentes na Lei no. </w:t>
      </w:r>
      <w:hyperlink r:id="rId8" w:tooltip="Lei nº 8.078, de 11 de setembro de 1990." w:history="1">
        <w:r w:rsidRPr="00132559">
          <w:rPr>
            <w:rStyle w:val="Hyperlink"/>
            <w:rFonts w:ascii="Garamond" w:hAnsi="Garamond" w:cs="Tahoma"/>
            <w:color w:val="000000" w:themeColor="text1"/>
            <w:sz w:val="24"/>
            <w:szCs w:val="24"/>
            <w:u w:val="none"/>
          </w:rPr>
          <w:t>8.078</w:t>
        </w:r>
      </w:hyperlink>
      <w:r w:rsidRPr="00132559">
        <w:rPr>
          <w:rFonts w:ascii="Garamond" w:hAnsi="Garamond" w:cs="Tahoma"/>
          <w:color w:val="000000" w:themeColor="text1"/>
          <w:sz w:val="24"/>
          <w:szCs w:val="24"/>
        </w:rPr>
        <w:t>-90, principalmente no que tange aos direitos básicos do consumidor, e a letra da Lei é clara.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No caso em tela, tanto a verossimilhança das alegações do requerente quanto sua hipossuficiência são cristalinas. A primeira é demonstrada pela inexistência de relação jurídica entre as partes, sendo que o envio do cartão foi completamente ilegal.</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Já a hipossuficiência do consumidor, com muito mais razão, eis que fica à mercê da empresa ré que tinha acesso a todos os seus dados, e tomou uma prática completamente abusiva.</w:t>
      </w:r>
    </w:p>
    <w:p w:rsidR="00790599" w:rsidRPr="00132559" w:rsidRDefault="00790599" w:rsidP="00132559">
      <w:pPr>
        <w:spacing w:line="360" w:lineRule="auto"/>
        <w:jc w:val="both"/>
        <w:rPr>
          <w:rFonts w:ascii="Garamond" w:hAnsi="Garamond" w:cs="Tahoma"/>
          <w:color w:val="000000" w:themeColor="text1"/>
          <w:sz w:val="24"/>
          <w:szCs w:val="24"/>
        </w:rPr>
      </w:pPr>
      <w:r w:rsidRPr="00132559">
        <w:rPr>
          <w:rFonts w:ascii="Garamond" w:hAnsi="Garamond" w:cs="Tahoma"/>
          <w:b/>
          <w:bCs/>
          <w:color w:val="000000" w:themeColor="text1"/>
          <w:sz w:val="24"/>
          <w:szCs w:val="24"/>
        </w:rPr>
        <w:t>DOS DANOS MORAIS. IN RE IPSA. ENVIO DE CARTÃO DE CRÉDITO SEM AUTORIZAÇÃO.</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O Superior Tribunal de Justiça já se pronunciou sobre este tipo de situação através da Súmula 532 que diz que:</w:t>
      </w:r>
    </w:p>
    <w:p w:rsidR="00790599" w:rsidRPr="00132559" w:rsidRDefault="00790599" w:rsidP="00132559">
      <w:pPr>
        <w:spacing w:line="360" w:lineRule="auto"/>
        <w:ind w:left="2268"/>
        <w:jc w:val="both"/>
        <w:rPr>
          <w:rFonts w:ascii="Garamond" w:hAnsi="Garamond" w:cs="Tahoma"/>
          <w:color w:val="000000" w:themeColor="text1"/>
          <w:sz w:val="24"/>
          <w:szCs w:val="24"/>
        </w:rPr>
      </w:pPr>
      <w:r w:rsidRPr="00132559">
        <w:rPr>
          <w:rFonts w:ascii="Garamond" w:hAnsi="Garamond" w:cs="Tahoma"/>
          <w:bCs/>
          <w:color w:val="000000" w:themeColor="text1"/>
          <w:sz w:val="24"/>
          <w:szCs w:val="24"/>
        </w:rPr>
        <w:t>Constitui prática comercial abusiva o envio de cartão de crédito sem prévia e expressa solicitação do consumidor, configurando-se ato ilícito indenizável e sujeito à aplicação de multa administrativa.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Sabemos que as súmulas são o resumo de entendimentos consolidados de julgamentos no Tribunal. Portanto, devem ser cumpridas, caracterizando assim, mais uma vez o dano moral.</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lastRenderedPageBreak/>
        <w:t>A Súmula 532 tem amparo no artigo </w:t>
      </w:r>
      <w:hyperlink r:id="rId9" w:tooltip="Artigo 39 da Lei nº 8.078 de 11 de Setembro de 1990" w:history="1">
        <w:r w:rsidRPr="00132559">
          <w:rPr>
            <w:rStyle w:val="Hyperlink"/>
            <w:rFonts w:ascii="Garamond" w:hAnsi="Garamond" w:cs="Tahoma"/>
            <w:color w:val="000000" w:themeColor="text1"/>
            <w:sz w:val="24"/>
            <w:szCs w:val="24"/>
            <w:u w:val="none"/>
          </w:rPr>
          <w:t>39</w:t>
        </w:r>
      </w:hyperlink>
      <w:r w:rsidRPr="00132559">
        <w:rPr>
          <w:rFonts w:ascii="Garamond" w:hAnsi="Garamond" w:cs="Tahoma"/>
          <w:color w:val="000000" w:themeColor="text1"/>
          <w:sz w:val="24"/>
          <w:szCs w:val="24"/>
        </w:rPr>
        <w:t>, </w:t>
      </w:r>
      <w:hyperlink r:id="rId10" w:tooltip="Inciso III do Artigo 39 da Lei nº 8.078 de 11 de Setembro de 1990" w:history="1">
        <w:r w:rsidRPr="00132559">
          <w:rPr>
            <w:rStyle w:val="Hyperlink"/>
            <w:rFonts w:ascii="Garamond" w:hAnsi="Garamond" w:cs="Tahoma"/>
            <w:color w:val="000000" w:themeColor="text1"/>
            <w:sz w:val="24"/>
            <w:szCs w:val="24"/>
            <w:u w:val="none"/>
          </w:rPr>
          <w:t>III</w:t>
        </w:r>
      </w:hyperlink>
      <w:r w:rsidRPr="00132559">
        <w:rPr>
          <w:rFonts w:ascii="Garamond" w:hAnsi="Garamond" w:cs="Tahoma"/>
          <w:color w:val="000000" w:themeColor="text1"/>
          <w:sz w:val="24"/>
          <w:szCs w:val="24"/>
        </w:rPr>
        <w:t>, do </w:t>
      </w:r>
      <w:hyperlink r:id="rId11" w:tooltip="Lei nº 8.078, de 11 de setembro de 1990." w:history="1">
        <w:r w:rsidRPr="00132559">
          <w:rPr>
            <w:rStyle w:val="Hyperlink"/>
            <w:rFonts w:ascii="Garamond" w:hAnsi="Garamond" w:cs="Tahoma"/>
            <w:color w:val="000000" w:themeColor="text1"/>
            <w:sz w:val="24"/>
            <w:szCs w:val="24"/>
            <w:u w:val="none"/>
          </w:rPr>
          <w:t>Código de Defesa do Consumidor</w:t>
        </w:r>
      </w:hyperlink>
      <w:r w:rsidRPr="00132559">
        <w:rPr>
          <w:rFonts w:ascii="Garamond" w:hAnsi="Garamond" w:cs="Tahoma"/>
          <w:color w:val="000000" w:themeColor="text1"/>
          <w:sz w:val="24"/>
          <w:szCs w:val="24"/>
        </w:rPr>
        <w:t>, que proíbe o fornecedor de enviar produtos ou prestar serviços sem solicitação prévia, a saber:</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t>Art. 39. É vedado ao fornecedor de produtos ou serviços, dentre outras práticas abusivas:</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b/>
          <w:bCs/>
          <w:iCs/>
          <w:color w:val="000000" w:themeColor="text1"/>
          <w:sz w:val="24"/>
          <w:szCs w:val="24"/>
        </w:rPr>
        <w:t>III - enviar ou entregar ao consumidor, sem solicitação prévia, qualquer produto, ou fornecer qualquer serviço; (grifo nosso)</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Portanto, fica ainda mais claro o abuso praticado pela empresa ré, não deixando dúvidas sobre o dano configurado.</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A responsabilidade do fornecedor por eventuais danos provocados ao consumidor é de natureza objetiva se decorrentes de defeito na prestação do serviço, podendo o fornecedor ser responsabilizado independentemente da comprovação de existência de culpa, nos termos do art. </w:t>
      </w:r>
      <w:hyperlink r:id="rId12" w:tooltip="Artigo 14 da Lei nº 8.078 de 11 de Setembro de 1990" w:history="1">
        <w:r w:rsidRPr="00132559">
          <w:rPr>
            <w:rStyle w:val="Hyperlink"/>
            <w:rFonts w:ascii="Garamond" w:hAnsi="Garamond" w:cs="Tahoma"/>
            <w:color w:val="000000" w:themeColor="text1"/>
            <w:sz w:val="24"/>
            <w:szCs w:val="24"/>
            <w:u w:val="none"/>
          </w:rPr>
          <w:t>14</w:t>
        </w:r>
      </w:hyperlink>
      <w:r w:rsidRPr="00132559">
        <w:rPr>
          <w:rFonts w:ascii="Garamond" w:hAnsi="Garamond" w:cs="Tahoma"/>
          <w:color w:val="000000" w:themeColor="text1"/>
          <w:sz w:val="24"/>
          <w:szCs w:val="24"/>
        </w:rPr>
        <w:t>, caput, do </w:t>
      </w:r>
      <w:hyperlink r:id="rId13" w:tooltip="Lei nº 8.078, de 11 de setembro de 1990." w:history="1">
        <w:r w:rsidRPr="00132559">
          <w:rPr>
            <w:rStyle w:val="Hyperlink"/>
            <w:rFonts w:ascii="Garamond" w:hAnsi="Garamond" w:cs="Tahoma"/>
            <w:color w:val="000000" w:themeColor="text1"/>
            <w:sz w:val="24"/>
            <w:szCs w:val="24"/>
            <w:u w:val="none"/>
          </w:rPr>
          <w:t>CDC</w:t>
        </w:r>
      </w:hyperlink>
      <w:r w:rsidRPr="00132559">
        <w:rPr>
          <w:rFonts w:ascii="Garamond" w:hAnsi="Garamond" w:cs="Tahoma"/>
          <w:color w:val="000000" w:themeColor="text1"/>
          <w:sz w:val="24"/>
          <w:szCs w:val="24"/>
        </w:rPr>
        <w:t>.</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Desta forma, da narrativa dos fatos, podemos inferir que não pairam dúvidas quanto ao ato ilícito praticado pela demandada.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A prática adotada pela empresa demandada revela absoluto desprezo pelas mais básicas regras de respeito ao consumidor e à boa fé objetiva nas relações comerciais, impondo resposta à altura.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O instituto do dano moral não foi criado somente para neutralizar o abalo suportado pelo ofendido, mas também para conferir uma carga didático-pedagógica a ser considerada pelo julgador, compensando a vítima e prevenindo a ocorrência de novas condutas arbitrárias por parte da demanda.</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E o caso em apreço se enquadra perfeitamente nesses ditames, tendo em vista que as empresas demandadas praticam esses atos abusivos apenas porque sabem que muitos clientes/consumidores não buscarão o judiciário a fim de buscar a contraprestação pelo dano ocorrido.</w:t>
      </w:r>
    </w:p>
    <w:p w:rsidR="00790599" w:rsidRPr="00132559" w:rsidRDefault="00790599" w:rsidP="00132559">
      <w:pPr>
        <w:spacing w:line="360" w:lineRule="auto"/>
        <w:jc w:val="both"/>
        <w:rPr>
          <w:rFonts w:ascii="Garamond" w:hAnsi="Garamond" w:cs="Tahoma"/>
          <w:color w:val="000000" w:themeColor="text1"/>
          <w:sz w:val="24"/>
          <w:szCs w:val="24"/>
        </w:rPr>
      </w:pPr>
      <w:r w:rsidRPr="00132559">
        <w:rPr>
          <w:rFonts w:ascii="Garamond" w:hAnsi="Garamond" w:cs="Tahoma"/>
          <w:color w:val="000000" w:themeColor="text1"/>
          <w:sz w:val="24"/>
          <w:szCs w:val="24"/>
        </w:rPr>
        <w:t>O artigo </w:t>
      </w:r>
      <w:hyperlink r:id="rId14" w:tooltip="Artigo 6 da Lei nº 8.078 de 11 de Setembro de 1990" w:history="1">
        <w:r w:rsidRPr="00132559">
          <w:rPr>
            <w:rStyle w:val="Hyperlink"/>
            <w:rFonts w:ascii="Garamond" w:hAnsi="Garamond" w:cs="Tahoma"/>
            <w:color w:val="000000" w:themeColor="text1"/>
            <w:sz w:val="24"/>
            <w:szCs w:val="24"/>
            <w:u w:val="none"/>
          </w:rPr>
          <w:t>6º</w:t>
        </w:r>
      </w:hyperlink>
      <w:r w:rsidRPr="00132559">
        <w:rPr>
          <w:rFonts w:ascii="Garamond" w:hAnsi="Garamond" w:cs="Tahoma"/>
          <w:color w:val="000000" w:themeColor="text1"/>
          <w:sz w:val="24"/>
          <w:szCs w:val="24"/>
        </w:rPr>
        <w:t> do </w:t>
      </w:r>
      <w:hyperlink r:id="rId15" w:tooltip="Lei nº 8.078, de 11 de setembro de 1990." w:history="1">
        <w:r w:rsidRPr="00132559">
          <w:rPr>
            <w:rStyle w:val="Hyperlink"/>
            <w:rFonts w:ascii="Garamond" w:hAnsi="Garamond" w:cs="Tahoma"/>
            <w:color w:val="000000" w:themeColor="text1"/>
            <w:sz w:val="24"/>
            <w:szCs w:val="24"/>
            <w:u w:val="none"/>
          </w:rPr>
          <w:t>CDC</w:t>
        </w:r>
      </w:hyperlink>
      <w:r w:rsidRPr="00132559">
        <w:rPr>
          <w:rFonts w:ascii="Garamond" w:hAnsi="Garamond" w:cs="Tahoma"/>
          <w:color w:val="000000" w:themeColor="text1"/>
          <w:sz w:val="24"/>
          <w:szCs w:val="24"/>
        </w:rPr>
        <w:t> diz que a reparação do dano moral é um direito básico do consumidor:</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t>Art. 6º São direitos básicos do consumidor:</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t>VI - a efetiva prevenção e reparação de danos patrimoniais e morais, individuais, coletivos e difusos;</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Desta forma, deve-se imputar a demandada a obrigação de indenizar os prejuízos incorridos pelo autor.</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O descaso e o desrespeito à Autora e a outros consumidores devem, em tais circunstâncias, ensejar a respectiva reparação dos danos causados da forma mais completa e abrangente possível, inclusive no plano meramente moral.</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A </w:t>
      </w:r>
      <w:hyperlink r:id="rId16" w:tooltip="CONSTITUIÇÃO DA REPÚBLICA FEDERATIVA DO BRASIL DE 1988" w:history="1">
        <w:r w:rsidRPr="00132559">
          <w:rPr>
            <w:rStyle w:val="Hyperlink"/>
            <w:rFonts w:ascii="Garamond" w:hAnsi="Garamond" w:cs="Tahoma"/>
            <w:color w:val="000000" w:themeColor="text1"/>
            <w:sz w:val="24"/>
            <w:szCs w:val="24"/>
            <w:u w:val="none"/>
          </w:rPr>
          <w:t>Constituição</w:t>
        </w:r>
      </w:hyperlink>
      <w:r w:rsidRPr="00132559">
        <w:rPr>
          <w:rFonts w:ascii="Garamond" w:hAnsi="Garamond" w:cs="Tahoma"/>
          <w:color w:val="000000" w:themeColor="text1"/>
          <w:sz w:val="24"/>
          <w:szCs w:val="24"/>
        </w:rPr>
        <w:t> de 1988, em seu artigo </w:t>
      </w:r>
      <w:hyperlink r:id="rId17" w:tooltip="Artigo 5 da Constituição Federal de 1988" w:history="1">
        <w:r w:rsidRPr="00132559">
          <w:rPr>
            <w:rStyle w:val="Hyperlink"/>
            <w:rFonts w:ascii="Garamond" w:hAnsi="Garamond" w:cs="Tahoma"/>
            <w:color w:val="000000" w:themeColor="text1"/>
            <w:sz w:val="24"/>
            <w:szCs w:val="24"/>
            <w:u w:val="none"/>
          </w:rPr>
          <w:t>5º</w:t>
        </w:r>
      </w:hyperlink>
      <w:r w:rsidRPr="00132559">
        <w:rPr>
          <w:rFonts w:ascii="Garamond" w:hAnsi="Garamond" w:cs="Tahoma"/>
          <w:color w:val="000000" w:themeColor="text1"/>
          <w:sz w:val="24"/>
          <w:szCs w:val="24"/>
        </w:rPr>
        <w:t>, inciso </w:t>
      </w:r>
      <w:hyperlink r:id="rId18" w:tooltip="Inciso X do Artigo 5 da Constituição Federal de 1988" w:history="1">
        <w:r w:rsidRPr="00132559">
          <w:rPr>
            <w:rStyle w:val="Hyperlink"/>
            <w:rFonts w:ascii="Garamond" w:hAnsi="Garamond" w:cs="Tahoma"/>
            <w:color w:val="000000" w:themeColor="text1"/>
            <w:sz w:val="24"/>
            <w:szCs w:val="24"/>
            <w:u w:val="none"/>
          </w:rPr>
          <w:t>X</w:t>
        </w:r>
      </w:hyperlink>
      <w:r w:rsidRPr="00132559">
        <w:rPr>
          <w:rFonts w:ascii="Garamond" w:hAnsi="Garamond" w:cs="Tahoma"/>
          <w:color w:val="000000" w:themeColor="text1"/>
          <w:sz w:val="24"/>
          <w:szCs w:val="24"/>
        </w:rPr>
        <w:t>, também deixa claro que a todos é assegurado o direito de reparação por danos morais:</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t>X - são invioláveis a intimidade, a vida privada, a honra e a imagem das pessoas, assegurado o direito a indenização pelo dano material ou moral decorrente de sua violação;</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Cumpre assinalar, finalmente, que não se pode admitir como plausível a alegação de mero dissabor tendo em vista que essa justificativa apenas estimula condutas que não respeitam os interesses dos consumidores.</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Neste sentido:</w:t>
      </w:r>
    </w:p>
    <w:p w:rsidR="00790599" w:rsidRPr="00132559" w:rsidRDefault="00790599" w:rsidP="00132559">
      <w:pPr>
        <w:spacing w:line="360" w:lineRule="auto"/>
        <w:ind w:left="2268"/>
        <w:jc w:val="both"/>
        <w:rPr>
          <w:rFonts w:ascii="Garamond" w:hAnsi="Garamond" w:cs="Tahoma"/>
          <w:color w:val="000000" w:themeColor="text1"/>
          <w:sz w:val="24"/>
          <w:szCs w:val="24"/>
        </w:rPr>
      </w:pPr>
      <w:r w:rsidRPr="00132559">
        <w:rPr>
          <w:rFonts w:ascii="Garamond" w:hAnsi="Garamond" w:cs="Tahoma"/>
          <w:color w:val="000000" w:themeColor="text1"/>
          <w:sz w:val="24"/>
          <w:szCs w:val="24"/>
        </w:rPr>
        <w:t>"[...] 1.</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b/>
          <w:bCs/>
          <w:iCs/>
          <w:color w:val="000000" w:themeColor="text1"/>
          <w:sz w:val="24"/>
          <w:szCs w:val="24"/>
        </w:rPr>
        <w:t>O envio de cartão de crédito sem solicitação prévia configura prática comercial abusiva, dando ensejo à responsabilização civil por dano moral. Precedentes</w:t>
      </w:r>
      <w:r w:rsidRPr="00132559">
        <w:rPr>
          <w:rFonts w:ascii="Garamond" w:hAnsi="Garamond" w:cs="Tahoma"/>
          <w:iCs/>
          <w:color w:val="000000" w:themeColor="text1"/>
          <w:sz w:val="24"/>
          <w:szCs w:val="24"/>
        </w:rPr>
        <w:t xml:space="preserve">. 2. A ausência de inscrição do nome do consumidor em cadastro de inadimplentes não afasta a responsabilidade do fornecedor de produtos e serviços, porque o dano, nessa hipótese, é presumido. 3. Restabelecido o quantum indenizatório fixado na sentença, por mostrar-se adequado e conforme os parâmetros estabelecidos pelo STJ para casos semelhantes. [...]". STJ – </w:t>
      </w:r>
      <w:proofErr w:type="spellStart"/>
      <w:r w:rsidRPr="00132559">
        <w:rPr>
          <w:rFonts w:ascii="Garamond" w:hAnsi="Garamond" w:cs="Tahoma"/>
          <w:iCs/>
          <w:color w:val="000000" w:themeColor="text1"/>
          <w:sz w:val="24"/>
          <w:szCs w:val="24"/>
        </w:rPr>
        <w:t>AgAREsp</w:t>
      </w:r>
      <w:proofErr w:type="spellEnd"/>
      <w:r w:rsidRPr="00132559">
        <w:rPr>
          <w:rFonts w:ascii="Garamond" w:hAnsi="Garamond" w:cs="Tahoma"/>
          <w:iCs/>
          <w:color w:val="000000" w:themeColor="text1"/>
          <w:sz w:val="24"/>
          <w:szCs w:val="24"/>
        </w:rPr>
        <w:t xml:space="preserve"> 275047 RJ, Rel. Ministra MARCO BUZZI, QUARTA TURMA, Julgado em 22/04/2014, </w:t>
      </w:r>
      <w:proofErr w:type="spellStart"/>
      <w:r w:rsidRPr="00132559">
        <w:rPr>
          <w:rFonts w:ascii="Garamond" w:hAnsi="Garamond" w:cs="Tahoma"/>
          <w:iCs/>
          <w:color w:val="000000" w:themeColor="text1"/>
          <w:sz w:val="24"/>
          <w:szCs w:val="24"/>
        </w:rPr>
        <w:t>DJe</w:t>
      </w:r>
      <w:proofErr w:type="spellEnd"/>
      <w:r w:rsidRPr="00132559">
        <w:rPr>
          <w:rFonts w:ascii="Garamond" w:hAnsi="Garamond" w:cs="Tahoma"/>
          <w:iCs/>
          <w:color w:val="000000" w:themeColor="text1"/>
          <w:sz w:val="24"/>
          <w:szCs w:val="24"/>
        </w:rPr>
        <w:t xml:space="preserve"> 29/04/2014.</w:t>
      </w:r>
    </w:p>
    <w:p w:rsidR="00790599" w:rsidRPr="00132559" w:rsidRDefault="00790599" w:rsidP="00132559">
      <w:pPr>
        <w:spacing w:line="360" w:lineRule="auto"/>
        <w:ind w:left="2268"/>
        <w:jc w:val="both"/>
        <w:rPr>
          <w:rFonts w:ascii="Garamond" w:hAnsi="Garamond" w:cs="Tahoma"/>
          <w:iCs/>
          <w:color w:val="000000" w:themeColor="text1"/>
          <w:sz w:val="24"/>
          <w:szCs w:val="24"/>
        </w:rPr>
      </w:pPr>
      <w:r w:rsidRPr="00132559">
        <w:rPr>
          <w:rFonts w:ascii="Garamond" w:hAnsi="Garamond" w:cs="Tahoma"/>
          <w:iCs/>
          <w:color w:val="000000" w:themeColor="text1"/>
          <w:sz w:val="24"/>
          <w:szCs w:val="24"/>
        </w:rPr>
        <w:lastRenderedPageBreak/>
        <w:t>1. </w:t>
      </w:r>
      <w:r w:rsidRPr="00132559">
        <w:rPr>
          <w:rFonts w:ascii="Garamond" w:hAnsi="Garamond" w:cs="Tahoma"/>
          <w:b/>
          <w:bCs/>
          <w:iCs/>
          <w:color w:val="000000" w:themeColor="text1"/>
          <w:sz w:val="24"/>
          <w:szCs w:val="24"/>
        </w:rPr>
        <w:t>O envio do cartão de crédito, ainda que bloqueado, sem pedido pretérito e expresso do consumidor, caracteriza prática comercial abusiva, violando frontalmente o disposto no artigo </w:t>
      </w:r>
      <w:hyperlink r:id="rId19" w:tooltip="Artigo 39 da Lei nº 8.078 de 11 de Setembro de 1990" w:history="1">
        <w:r w:rsidRPr="00132559">
          <w:rPr>
            <w:rStyle w:val="Hyperlink"/>
            <w:rFonts w:ascii="Garamond" w:hAnsi="Garamond" w:cs="Tahoma"/>
            <w:color w:val="000000" w:themeColor="text1"/>
            <w:sz w:val="24"/>
            <w:szCs w:val="24"/>
            <w:u w:val="none"/>
          </w:rPr>
          <w:t>39</w:t>
        </w:r>
      </w:hyperlink>
      <w:r w:rsidRPr="00132559">
        <w:rPr>
          <w:rFonts w:ascii="Garamond" w:hAnsi="Garamond" w:cs="Tahoma"/>
          <w:b/>
          <w:bCs/>
          <w:iCs/>
          <w:color w:val="000000" w:themeColor="text1"/>
          <w:sz w:val="24"/>
          <w:szCs w:val="24"/>
        </w:rPr>
        <w:t>, </w:t>
      </w:r>
      <w:hyperlink r:id="rId20" w:tooltip="Inciso III do Artigo 39 da Lei nº 8.078 de 11 de Setembro de 1990" w:history="1">
        <w:r w:rsidRPr="00132559">
          <w:rPr>
            <w:rStyle w:val="Hyperlink"/>
            <w:rFonts w:ascii="Garamond" w:hAnsi="Garamond" w:cs="Tahoma"/>
            <w:color w:val="000000" w:themeColor="text1"/>
            <w:sz w:val="24"/>
            <w:szCs w:val="24"/>
            <w:u w:val="none"/>
          </w:rPr>
          <w:t>III</w:t>
        </w:r>
      </w:hyperlink>
      <w:r w:rsidRPr="00132559">
        <w:rPr>
          <w:rFonts w:ascii="Garamond" w:hAnsi="Garamond" w:cs="Tahoma"/>
          <w:b/>
          <w:bCs/>
          <w:iCs/>
          <w:color w:val="000000" w:themeColor="text1"/>
          <w:sz w:val="24"/>
          <w:szCs w:val="24"/>
        </w:rPr>
        <w:t>, do </w:t>
      </w:r>
      <w:hyperlink r:id="rId21" w:tooltip="Lei nº 8.078, de 11 de setembro de 1990." w:history="1">
        <w:r w:rsidRPr="00132559">
          <w:rPr>
            <w:rStyle w:val="Hyperlink"/>
            <w:rFonts w:ascii="Garamond" w:hAnsi="Garamond" w:cs="Tahoma"/>
            <w:color w:val="000000" w:themeColor="text1"/>
            <w:sz w:val="24"/>
            <w:szCs w:val="24"/>
            <w:u w:val="none"/>
          </w:rPr>
          <w:t>Código de Defesa do Consumidor</w:t>
        </w:r>
      </w:hyperlink>
      <w:r w:rsidRPr="00132559">
        <w:rPr>
          <w:rFonts w:ascii="Garamond" w:hAnsi="Garamond" w:cs="Tahoma"/>
          <w:b/>
          <w:bCs/>
          <w:iCs/>
          <w:color w:val="000000" w:themeColor="text1"/>
          <w:sz w:val="24"/>
          <w:szCs w:val="24"/>
        </w:rPr>
        <w:t>.</w:t>
      </w:r>
      <w:r w:rsidRPr="00132559">
        <w:rPr>
          <w:rFonts w:ascii="Garamond" w:hAnsi="Garamond" w:cs="Tahoma"/>
          <w:iCs/>
          <w:color w:val="000000" w:themeColor="text1"/>
          <w:sz w:val="24"/>
          <w:szCs w:val="24"/>
        </w:rPr>
        <w:t> (...) 3. Quanto ao valor do dano moral indenizável, nos termos da jurisprudência consolidada no Superior Tribunal de Justiça, a revisão de indenização por danos morais só é possível em recurso especial quando o valor fixado nas instâncias locais for exorbitante ou ínfimo, de modo a afrontar os princípios da razoabilidade e da proporcionalidade. Se o valor arbitrado não destoa da jurisprudência desta Corte, inviável a sua alteração, porque, para tanto, também seria necessário o revolvimento do conteúdo fático probatório dos autos, o que não se coaduna com a via do recurso especial, a teor da Súmula 7/STJ. Destarte, fica mantido o valor da indenização fixado pelo Tribunal de origem.</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Por todo exposto, é meritória a compensação dos danos morais sofridos pela autora, pelo recebimento de cartão de crédito não solicitado (Súmula 532 STJ).</w:t>
      </w:r>
    </w:p>
    <w:p w:rsidR="00790599" w:rsidRPr="00132559" w:rsidRDefault="00790599" w:rsidP="00132559">
      <w:pPr>
        <w:spacing w:line="360" w:lineRule="auto"/>
        <w:jc w:val="both"/>
        <w:rPr>
          <w:rFonts w:ascii="Garamond" w:hAnsi="Garamond" w:cs="Tahoma"/>
          <w:color w:val="000000" w:themeColor="text1"/>
          <w:sz w:val="24"/>
          <w:szCs w:val="24"/>
        </w:rPr>
      </w:pPr>
      <w:r w:rsidRPr="00132559">
        <w:rPr>
          <w:rFonts w:ascii="Garamond" w:hAnsi="Garamond" w:cs="Tahoma"/>
          <w:b/>
          <w:bCs/>
          <w:color w:val="000000" w:themeColor="text1"/>
          <w:sz w:val="24"/>
          <w:szCs w:val="24"/>
        </w:rPr>
        <w:t>DO PEDIDO</w:t>
      </w:r>
    </w:p>
    <w:p w:rsidR="00790599" w:rsidRPr="00132559" w:rsidRDefault="00790599" w:rsidP="00132559">
      <w:pPr>
        <w:spacing w:line="360" w:lineRule="auto"/>
        <w:ind w:firstLine="708"/>
        <w:jc w:val="both"/>
        <w:rPr>
          <w:rFonts w:ascii="Garamond" w:hAnsi="Garamond" w:cs="Tahoma"/>
          <w:color w:val="000000" w:themeColor="text1"/>
          <w:sz w:val="24"/>
          <w:szCs w:val="24"/>
        </w:rPr>
      </w:pPr>
      <w:r w:rsidRPr="00132559">
        <w:rPr>
          <w:rFonts w:ascii="Garamond" w:hAnsi="Garamond" w:cs="Tahoma"/>
          <w:color w:val="000000" w:themeColor="text1"/>
          <w:sz w:val="24"/>
          <w:szCs w:val="24"/>
        </w:rPr>
        <w:t>Diante dos fatos e fundamentos jurídicos acima elencados, o autor requer se digne Vossa Excelência em:</w:t>
      </w:r>
    </w:p>
    <w:p w:rsidR="00790599" w:rsidRPr="00132559" w:rsidRDefault="00790599" w:rsidP="00132559">
      <w:pPr>
        <w:spacing w:line="360" w:lineRule="auto"/>
        <w:ind w:left="2268"/>
        <w:jc w:val="both"/>
        <w:rPr>
          <w:rFonts w:ascii="Garamond" w:hAnsi="Garamond" w:cs="Tahoma"/>
          <w:color w:val="000000" w:themeColor="text1"/>
          <w:sz w:val="24"/>
          <w:szCs w:val="24"/>
        </w:rPr>
      </w:pPr>
      <w:r w:rsidRPr="00132559">
        <w:rPr>
          <w:rFonts w:ascii="Garamond" w:hAnsi="Garamond" w:cs="Tahoma"/>
          <w:color w:val="000000" w:themeColor="text1"/>
          <w:sz w:val="24"/>
          <w:szCs w:val="24"/>
        </w:rPr>
        <w:t>1 – Realizar a citação do réu, na pessoa seu representante legal para, querendo, conciliar-se, ou contestar a ação, sob pena de padecer incontroversa a pretensão do autor;</w:t>
      </w:r>
    </w:p>
    <w:p w:rsidR="00790599" w:rsidRPr="00132559" w:rsidRDefault="00790599" w:rsidP="00132559">
      <w:pPr>
        <w:spacing w:line="360" w:lineRule="auto"/>
        <w:ind w:left="2268"/>
        <w:jc w:val="both"/>
        <w:rPr>
          <w:rFonts w:ascii="Garamond" w:hAnsi="Garamond" w:cs="Tahoma"/>
          <w:color w:val="000000" w:themeColor="text1"/>
          <w:sz w:val="24"/>
          <w:szCs w:val="24"/>
        </w:rPr>
      </w:pPr>
      <w:r w:rsidRPr="00132559">
        <w:rPr>
          <w:rFonts w:ascii="Garamond" w:hAnsi="Garamond" w:cs="Tahoma"/>
          <w:color w:val="000000" w:themeColor="text1"/>
          <w:sz w:val="24"/>
          <w:szCs w:val="24"/>
        </w:rPr>
        <w:t>2 – Conceder a inversão do ônus da prova, com base no art. </w:t>
      </w:r>
      <w:hyperlink r:id="rId22" w:tooltip="Artigo 6 da Lei nº 8.078 de 11 de Setembro de 1990" w:history="1">
        <w:r w:rsidRPr="00132559">
          <w:rPr>
            <w:rStyle w:val="Hyperlink"/>
            <w:rFonts w:ascii="Garamond" w:hAnsi="Garamond" w:cs="Tahoma"/>
            <w:color w:val="000000" w:themeColor="text1"/>
            <w:sz w:val="24"/>
            <w:szCs w:val="24"/>
            <w:u w:val="none"/>
          </w:rPr>
          <w:t>6º</w:t>
        </w:r>
      </w:hyperlink>
      <w:r w:rsidRPr="00132559">
        <w:rPr>
          <w:rFonts w:ascii="Garamond" w:hAnsi="Garamond" w:cs="Tahoma"/>
          <w:color w:val="000000" w:themeColor="text1"/>
          <w:sz w:val="24"/>
          <w:szCs w:val="24"/>
        </w:rPr>
        <w:t>, </w:t>
      </w:r>
      <w:hyperlink r:id="rId23" w:tooltip="Inciso VIII do Artigo 6 da Lei nº 8.078 de 11 de Setembro de 1990" w:history="1">
        <w:r w:rsidRPr="00132559">
          <w:rPr>
            <w:rStyle w:val="Hyperlink"/>
            <w:rFonts w:ascii="Garamond" w:hAnsi="Garamond" w:cs="Tahoma"/>
            <w:color w:val="000000" w:themeColor="text1"/>
            <w:sz w:val="24"/>
            <w:szCs w:val="24"/>
            <w:u w:val="none"/>
          </w:rPr>
          <w:t>VIII</w:t>
        </w:r>
      </w:hyperlink>
      <w:r w:rsidRPr="00132559">
        <w:rPr>
          <w:rFonts w:ascii="Garamond" w:hAnsi="Garamond" w:cs="Tahoma"/>
          <w:color w:val="000000" w:themeColor="text1"/>
          <w:sz w:val="24"/>
          <w:szCs w:val="24"/>
        </w:rPr>
        <w:t> do </w:t>
      </w:r>
      <w:hyperlink r:id="rId24" w:tooltip="Lei nº 8.078, de 11 de setembro de 1990." w:history="1">
        <w:r w:rsidRPr="00132559">
          <w:rPr>
            <w:rStyle w:val="Hyperlink"/>
            <w:rFonts w:ascii="Garamond" w:hAnsi="Garamond" w:cs="Tahoma"/>
            <w:color w:val="000000" w:themeColor="text1"/>
            <w:sz w:val="24"/>
            <w:szCs w:val="24"/>
            <w:u w:val="none"/>
          </w:rPr>
          <w:t>CDC</w:t>
        </w:r>
      </w:hyperlink>
      <w:r w:rsidRPr="00132559">
        <w:rPr>
          <w:rFonts w:ascii="Garamond" w:hAnsi="Garamond" w:cs="Tahoma"/>
          <w:color w:val="000000" w:themeColor="text1"/>
          <w:sz w:val="24"/>
          <w:szCs w:val="24"/>
        </w:rPr>
        <w:t>, para que a parte Requerida apresente prova de que o Requerente fez a solicitação do referido Cartão de Crédito;</w:t>
      </w:r>
    </w:p>
    <w:p w:rsidR="00790599" w:rsidRPr="00132559" w:rsidRDefault="00790599" w:rsidP="00132559">
      <w:pPr>
        <w:spacing w:line="360" w:lineRule="auto"/>
        <w:ind w:left="2268"/>
        <w:jc w:val="both"/>
        <w:rPr>
          <w:rFonts w:ascii="Garamond" w:hAnsi="Garamond" w:cs="Tahoma"/>
          <w:color w:val="000000" w:themeColor="text1"/>
          <w:sz w:val="24"/>
          <w:szCs w:val="24"/>
        </w:rPr>
      </w:pPr>
      <w:r w:rsidRPr="00132559">
        <w:rPr>
          <w:rFonts w:ascii="Garamond" w:hAnsi="Garamond" w:cs="Tahoma"/>
          <w:color w:val="000000" w:themeColor="text1"/>
          <w:sz w:val="24"/>
          <w:szCs w:val="24"/>
        </w:rPr>
        <w:t>3 – Julgar procedente o mérito da ação, condenando a parte ré a pagar indenização à autora no valor de R$ 5.000,00 (cinco mil reais), valores estes corrigidos de acordo com a súmula 54 do STJ, por tratar-se de relação jurídica extracontratual, aplicando-se a correção desde a data do evento danoso.</w:t>
      </w:r>
    </w:p>
    <w:p w:rsidR="00790599" w:rsidRPr="00132559" w:rsidRDefault="00790599" w:rsidP="00132559">
      <w:pPr>
        <w:spacing w:line="360" w:lineRule="auto"/>
        <w:ind w:left="2268"/>
        <w:jc w:val="both"/>
        <w:rPr>
          <w:rFonts w:ascii="Garamond" w:hAnsi="Garamond" w:cs="Tahoma"/>
          <w:color w:val="000000" w:themeColor="text1"/>
          <w:sz w:val="24"/>
          <w:szCs w:val="24"/>
        </w:rPr>
      </w:pPr>
      <w:r w:rsidRPr="00132559">
        <w:rPr>
          <w:rFonts w:ascii="Garamond" w:hAnsi="Garamond" w:cs="Tahoma"/>
          <w:color w:val="000000" w:themeColor="text1"/>
          <w:sz w:val="24"/>
          <w:szCs w:val="24"/>
        </w:rPr>
        <w:t>Dá-se à causa o valor de R$ 5.000,00 (cinco mil reais), para fins de direito.</w:t>
      </w:r>
    </w:p>
    <w:p w:rsidR="00E946D9" w:rsidRPr="00132559" w:rsidRDefault="00E946D9" w:rsidP="00132559">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0" w:name="_Hlk482881190"/>
      <w:bookmarkStart w:id="11" w:name="_Hlk482880653"/>
      <w:r w:rsidRPr="00132559">
        <w:rPr>
          <w:rFonts w:ascii="Garamond" w:hAnsi="Garamond" w:cs="Tahoma"/>
          <w:spacing w:val="2"/>
        </w:rPr>
        <w:t xml:space="preserve">Nestes termos, </w:t>
      </w:r>
    </w:p>
    <w:p w:rsidR="00E946D9" w:rsidRPr="00132559" w:rsidRDefault="00E946D9" w:rsidP="00132559">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32559">
        <w:rPr>
          <w:rFonts w:ascii="Garamond" w:hAnsi="Garamond" w:cs="Tahoma"/>
          <w:spacing w:val="2"/>
        </w:rPr>
        <w:t>pede e espera deferimento.</w:t>
      </w:r>
    </w:p>
    <w:p w:rsidR="00E946D9" w:rsidRPr="00132559" w:rsidRDefault="00E946D9" w:rsidP="00132559">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32559">
        <w:rPr>
          <w:rFonts w:ascii="Garamond" w:hAnsi="Garamond" w:cs="Tahoma"/>
          <w:spacing w:val="2"/>
        </w:rPr>
        <w:t>... (Município – UF), ... (dia) de ... (mês) de ... (ano).</w:t>
      </w:r>
    </w:p>
    <w:p w:rsidR="00E946D9" w:rsidRPr="00132559" w:rsidRDefault="00E946D9" w:rsidP="00132559">
      <w:pPr>
        <w:shd w:val="clear" w:color="auto" w:fill="FFFFFF"/>
        <w:spacing w:line="360" w:lineRule="auto"/>
        <w:jc w:val="both"/>
        <w:rPr>
          <w:rFonts w:ascii="Garamond" w:hAnsi="Garamond" w:cs="Arial"/>
          <w:sz w:val="24"/>
          <w:szCs w:val="24"/>
          <w:lang w:eastAsia="pt-BR"/>
        </w:rPr>
      </w:pPr>
    </w:p>
    <w:p w:rsidR="00E946D9" w:rsidRPr="00132559" w:rsidRDefault="00E946D9" w:rsidP="00132559">
      <w:pPr>
        <w:spacing w:after="0" w:line="360" w:lineRule="auto"/>
        <w:ind w:left="1321" w:right="1281" w:hanging="10"/>
        <w:jc w:val="center"/>
        <w:rPr>
          <w:rFonts w:ascii="Garamond" w:hAnsi="Garamond" w:cs="Tahoma"/>
          <w:sz w:val="24"/>
          <w:szCs w:val="24"/>
        </w:rPr>
      </w:pPr>
      <w:r w:rsidRPr="00132559">
        <w:rPr>
          <w:rFonts w:ascii="Garamond" w:hAnsi="Garamond" w:cs="Tahoma"/>
          <w:b/>
          <w:sz w:val="24"/>
          <w:szCs w:val="24"/>
        </w:rPr>
        <w:t>ADVOGADO</w:t>
      </w:r>
    </w:p>
    <w:p w:rsidR="00E946D9" w:rsidRPr="00132559" w:rsidRDefault="00E946D9" w:rsidP="00132559">
      <w:pPr>
        <w:spacing w:after="0" w:line="360" w:lineRule="auto"/>
        <w:ind w:left="1321" w:right="1281" w:hanging="10"/>
        <w:jc w:val="center"/>
        <w:rPr>
          <w:rFonts w:ascii="Garamond" w:hAnsi="Garamond" w:cs="Tahoma"/>
          <w:sz w:val="24"/>
          <w:szCs w:val="24"/>
        </w:rPr>
      </w:pPr>
      <w:r w:rsidRPr="00132559">
        <w:rPr>
          <w:rFonts w:ascii="Garamond" w:hAnsi="Garamond" w:cs="Tahoma"/>
          <w:sz w:val="24"/>
          <w:szCs w:val="24"/>
        </w:rPr>
        <w:lastRenderedPageBreak/>
        <w:t>OAB n° .... - UF</w:t>
      </w:r>
    </w:p>
    <w:bookmarkEnd w:id="10"/>
    <w:p w:rsidR="00E946D9" w:rsidRPr="00132559" w:rsidRDefault="00E946D9" w:rsidP="00132559">
      <w:pPr>
        <w:spacing w:after="0" w:line="360" w:lineRule="auto"/>
        <w:ind w:left="30"/>
        <w:jc w:val="center"/>
        <w:rPr>
          <w:rFonts w:ascii="Garamond" w:hAnsi="Garamond" w:cs="Tahoma"/>
          <w:sz w:val="24"/>
          <w:szCs w:val="24"/>
        </w:rPr>
      </w:pPr>
    </w:p>
    <w:bookmarkEnd w:id="11"/>
    <w:bookmarkEnd w:id="0"/>
    <w:p w:rsidR="00B97B4B" w:rsidRPr="00132559" w:rsidRDefault="00B97B4B" w:rsidP="00132559">
      <w:pPr>
        <w:spacing w:line="360" w:lineRule="auto"/>
        <w:jc w:val="both"/>
        <w:rPr>
          <w:rFonts w:ascii="Garamond" w:hAnsi="Garamond" w:cs="Tahoma"/>
          <w:color w:val="000000" w:themeColor="text1"/>
          <w:sz w:val="24"/>
          <w:szCs w:val="24"/>
        </w:rPr>
      </w:pPr>
    </w:p>
    <w:sectPr w:rsidR="00B97B4B" w:rsidRPr="001325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2559"/>
    <w:rsid w:val="00135810"/>
    <w:rsid w:val="00156F47"/>
    <w:rsid w:val="00200666"/>
    <w:rsid w:val="00234F59"/>
    <w:rsid w:val="00263860"/>
    <w:rsid w:val="00273892"/>
    <w:rsid w:val="002A1D08"/>
    <w:rsid w:val="002B0F9E"/>
    <w:rsid w:val="002C4313"/>
    <w:rsid w:val="00333420"/>
    <w:rsid w:val="003A4630"/>
    <w:rsid w:val="003B5C9C"/>
    <w:rsid w:val="0045563F"/>
    <w:rsid w:val="00535196"/>
    <w:rsid w:val="00557C29"/>
    <w:rsid w:val="005F43FF"/>
    <w:rsid w:val="0064678C"/>
    <w:rsid w:val="00673026"/>
    <w:rsid w:val="006872E0"/>
    <w:rsid w:val="006A4713"/>
    <w:rsid w:val="006A635F"/>
    <w:rsid w:val="006A65C6"/>
    <w:rsid w:val="007151A3"/>
    <w:rsid w:val="0072102A"/>
    <w:rsid w:val="00790599"/>
    <w:rsid w:val="00793506"/>
    <w:rsid w:val="007A2E47"/>
    <w:rsid w:val="007B2B3D"/>
    <w:rsid w:val="007B4273"/>
    <w:rsid w:val="0082346D"/>
    <w:rsid w:val="00867297"/>
    <w:rsid w:val="008A37FB"/>
    <w:rsid w:val="008C2E3D"/>
    <w:rsid w:val="00A2567B"/>
    <w:rsid w:val="00A329CC"/>
    <w:rsid w:val="00B23614"/>
    <w:rsid w:val="00B24CA3"/>
    <w:rsid w:val="00B97B4B"/>
    <w:rsid w:val="00BF7C4A"/>
    <w:rsid w:val="00C1256C"/>
    <w:rsid w:val="00C16D4D"/>
    <w:rsid w:val="00C64429"/>
    <w:rsid w:val="00DA36B5"/>
    <w:rsid w:val="00E14AF3"/>
    <w:rsid w:val="00E86B6D"/>
    <w:rsid w:val="00E946D9"/>
    <w:rsid w:val="00EC6118"/>
    <w:rsid w:val="00EE274C"/>
    <w:rsid w:val="00F63D31"/>
    <w:rsid w:val="00F71D74"/>
    <w:rsid w:val="00F83EC4"/>
    <w:rsid w:val="00F84A49"/>
    <w:rsid w:val="00F84FBE"/>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92BE"/>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90599"/>
    <w:rPr>
      <w:color w:val="0563C1" w:themeColor="hyperlink"/>
      <w:u w:val="single"/>
    </w:rPr>
  </w:style>
  <w:style w:type="character" w:styleId="Meno">
    <w:name w:val="Mention"/>
    <w:basedOn w:val="Fontepargpadro"/>
    <w:uiPriority w:val="99"/>
    <w:semiHidden/>
    <w:unhideWhenUsed/>
    <w:rsid w:val="00790599"/>
    <w:rPr>
      <w:color w:val="2B579A"/>
      <w:shd w:val="clear" w:color="auto" w:fill="E6E6E6"/>
    </w:rPr>
  </w:style>
  <w:style w:type="paragraph" w:styleId="NormalWeb">
    <w:name w:val="Normal (Web)"/>
    <w:basedOn w:val="Normal"/>
    <w:uiPriority w:val="99"/>
    <w:unhideWhenUsed/>
    <w:rsid w:val="00E946D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91585/c%C3%B3digo-de-defesa-do-consumidor-lei-8078-90" TargetMode="External"/><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topicos/10730704/inciso-x-do-artigo-5-da-constitui%C3%A7%C3%A3o-federal-de-198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jusbrasil.com.br/legislacao/91585/c%C3%B3digo-de-defesa-do-consumidor-lei-8078-90" TargetMode="External"/><Relationship Id="rId7" Type="http://schemas.openxmlformats.org/officeDocument/2006/relationships/hyperlink" Target="http://www.jusbrasil.com.br/legislacao/91585/c%C3%B3digo-de-defesa-do-consumidor-lei-8078-90" TargetMode="External"/><Relationship Id="rId12" Type="http://schemas.openxmlformats.org/officeDocument/2006/relationships/hyperlink" Target="http://www.jusbrasil.com.br/topicos/10606184/artigo-14-da-lei-n-8078-de-11-de-setembro-de-1990" TargetMode="External"/><Relationship Id="rId17" Type="http://schemas.openxmlformats.org/officeDocument/2006/relationships/hyperlink" Target="http://www.jusbrasil.com.br/topicos/10641516/artigo-5-da-constitui%C3%A7%C3%A3o-federal-de-1988"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legislacao/188546065/constitui%C3%A7%C3%A3o-federal-constitui%C3%A7%C3%A3o-da-republica-federativa-do-brasil-1988" TargetMode="External"/><Relationship Id="rId20" Type="http://schemas.openxmlformats.org/officeDocument/2006/relationships/hyperlink" Target="http://www.jusbrasil.com.br/topicos/10602768/inciso-iii-do-artigo-39-da-lei-n-8078-de-11-de-setembro-de-1990" TargetMode="External"/><Relationship Id="rId1" Type="http://schemas.openxmlformats.org/officeDocument/2006/relationships/styles" Target="styles.xml"/><Relationship Id="rId6" Type="http://schemas.openxmlformats.org/officeDocument/2006/relationships/hyperlink" Target="http://www.jusbrasil.com.br/topicos/10607335/inciso-viii-do-artigo-6-da-lei-n-8078-de-11-de-setembro-de-1990" TargetMode="External"/><Relationship Id="rId11" Type="http://schemas.openxmlformats.org/officeDocument/2006/relationships/hyperlink" Target="http://www.jusbrasil.com.br/legislacao/91585/c%C3%B3digo-de-defesa-do-consumidor-lei-8078-90" TargetMode="External"/><Relationship Id="rId24" Type="http://schemas.openxmlformats.org/officeDocument/2006/relationships/hyperlink" Target="http://www.jusbrasil.com.br/legislacao/91585/c%C3%B3digo-de-defesa-do-consumidor-lei-8078-90" TargetMode="External"/><Relationship Id="rId5" Type="http://schemas.openxmlformats.org/officeDocument/2006/relationships/hyperlink" Target="http://www.jusbrasil.com.br/topicos/10607666/artigo-6-da-lei-n-8078-de-11-de-setembro-de-1990" TargetMode="External"/><Relationship Id="rId15" Type="http://schemas.openxmlformats.org/officeDocument/2006/relationships/hyperlink" Target="http://www.jusbrasil.com.br/legislacao/91585/c%C3%B3digo-de-defesa-do-consumidor-lei-8078-90" TargetMode="External"/><Relationship Id="rId23" Type="http://schemas.openxmlformats.org/officeDocument/2006/relationships/hyperlink" Target="http://www.jusbrasil.com.br/topicos/10607335/inciso-viii-do-artigo-6-da-lei-n-8078-de-11-de-setembro-de-1990" TargetMode="External"/><Relationship Id="rId10" Type="http://schemas.openxmlformats.org/officeDocument/2006/relationships/hyperlink" Target="http://www.jusbrasil.com.br/topicos/10602768/inciso-iii-do-artigo-39-da-lei-n-8078-de-11-de-setembro-de-1990" TargetMode="External"/><Relationship Id="rId19" Type="http://schemas.openxmlformats.org/officeDocument/2006/relationships/hyperlink" Target="http://www.jusbrasil.com.br/topicos/10602881/artigo-39-da-lei-n-8078-de-11-de-setembro-de-1990" TargetMode="External"/><Relationship Id="rId4" Type="http://schemas.openxmlformats.org/officeDocument/2006/relationships/hyperlink" Target="http://www.jusbrasil.com.br/legislacao/91585/c%C3%B3digo-de-defesa-do-consumidor-lei-8078-90" TargetMode="External"/><Relationship Id="rId9" Type="http://schemas.openxmlformats.org/officeDocument/2006/relationships/hyperlink" Target="http://www.jusbrasil.com.br/topicos/10602881/artigo-39-da-lei-n-8078-de-11-de-setembro-de-1990" TargetMode="External"/><Relationship Id="rId14" Type="http://schemas.openxmlformats.org/officeDocument/2006/relationships/hyperlink" Target="http://www.jusbrasil.com.br/topicos/10607666/artigo-6-da-lei-n-8078-de-11-de-setembro-de-1990" TargetMode="External"/><Relationship Id="rId22" Type="http://schemas.openxmlformats.org/officeDocument/2006/relationships/hyperlink" Target="http://www.jusbrasil.com.br/topicos/10607666/artigo-6-da-lei-n-8078-de-11-de-setembro-de-199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2572</Words>
  <Characters>13890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2017-05-27T22:24:00Z</dcterms:created>
  <dcterms:modified xsi:type="dcterms:W3CDTF">2019-05-31T18:28:00Z</dcterms:modified>
</cp:coreProperties>
</file>