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441F" w14:textId="593F4359" w:rsidR="00EF4BB9" w:rsidRPr="00200C22" w:rsidRDefault="00EF4BB9" w:rsidP="00EF4BB9">
      <w:pPr>
        <w:suppressAutoHyphens/>
        <w:spacing w:line="360" w:lineRule="auto"/>
        <w:jc w:val="both"/>
        <w:rPr>
          <w:rFonts w:ascii="Garamond" w:hAnsi="Garamond"/>
          <w:spacing w:val="-3"/>
          <w:lang w:val="pt-BR"/>
        </w:rPr>
      </w:pPr>
      <w:r w:rsidRPr="00200C22">
        <w:rPr>
          <w:rFonts w:ascii="Garamond" w:hAnsi="Garamond"/>
          <w:b/>
          <w:lang w:val="pt-BR"/>
        </w:rPr>
        <w:t xml:space="preserve">EXCELENTÍSSIMO </w:t>
      </w:r>
      <w:r w:rsidR="00200C22" w:rsidRPr="00200C22">
        <w:rPr>
          <w:rFonts w:ascii="Garamond" w:hAnsi="Garamond"/>
          <w:b/>
          <w:lang w:val="pt-BR"/>
        </w:rPr>
        <w:t>JUIZO</w:t>
      </w:r>
      <w:r w:rsidRPr="00200C22">
        <w:rPr>
          <w:rFonts w:ascii="Garamond" w:hAnsi="Garamond"/>
          <w:b/>
          <w:lang w:val="pt-BR"/>
        </w:rPr>
        <w:t xml:space="preserve"> DA __</w:t>
      </w:r>
      <w:r w:rsidR="00200C22" w:rsidRPr="00200C22">
        <w:rPr>
          <w:rFonts w:ascii="Garamond" w:hAnsi="Garamond"/>
          <w:b/>
          <w:lang w:val="pt-BR"/>
        </w:rPr>
        <w:t>ª</w:t>
      </w:r>
      <w:r w:rsidRPr="00200C22">
        <w:rPr>
          <w:rFonts w:ascii="Garamond" w:hAnsi="Garamond"/>
          <w:b/>
          <w:lang w:val="pt-BR"/>
        </w:rPr>
        <w:t xml:space="preserve"> VARA DA FAZENDA PÚBLICA ESTADUAL DA COMARCA DE </w:t>
      </w:r>
      <w:r w:rsidR="00200C22" w:rsidRPr="00200C22">
        <w:rPr>
          <w:rFonts w:ascii="Garamond" w:hAnsi="Garamond"/>
          <w:b/>
          <w:lang w:val="pt-BR"/>
        </w:rPr>
        <w:t>CIDADE - ESTADO</w:t>
      </w:r>
    </w:p>
    <w:p w14:paraId="21E42517" w14:textId="77777777" w:rsidR="00EF4BB9" w:rsidRPr="00200C22" w:rsidRDefault="00EF4BB9" w:rsidP="00EF4BB9">
      <w:pPr>
        <w:suppressAutoHyphens/>
        <w:spacing w:line="360" w:lineRule="auto"/>
        <w:jc w:val="both"/>
        <w:rPr>
          <w:rFonts w:ascii="Garamond" w:hAnsi="Garamond"/>
          <w:spacing w:val="-3"/>
          <w:lang w:val="pt-BR"/>
        </w:rPr>
      </w:pPr>
    </w:p>
    <w:p w14:paraId="353DF531" w14:textId="77777777" w:rsidR="00EF4BB9" w:rsidRPr="00200C22" w:rsidRDefault="00EF4BB9" w:rsidP="00EF4BB9">
      <w:pPr>
        <w:suppressAutoHyphens/>
        <w:spacing w:line="360" w:lineRule="auto"/>
        <w:jc w:val="both"/>
        <w:rPr>
          <w:rFonts w:ascii="Garamond" w:hAnsi="Garamond"/>
          <w:spacing w:val="-3"/>
          <w:lang w:val="pt-BR"/>
        </w:rPr>
      </w:pPr>
    </w:p>
    <w:p w14:paraId="24F42AED" w14:textId="77777777" w:rsidR="00EF4BB9" w:rsidRPr="00200C22" w:rsidRDefault="00EF4BB9" w:rsidP="00EF4BB9">
      <w:pPr>
        <w:suppressAutoHyphens/>
        <w:spacing w:line="360" w:lineRule="auto"/>
        <w:jc w:val="both"/>
        <w:rPr>
          <w:rFonts w:ascii="Garamond" w:hAnsi="Garamond"/>
          <w:spacing w:val="-3"/>
          <w:lang w:val="pt-BR"/>
        </w:rPr>
      </w:pPr>
    </w:p>
    <w:p w14:paraId="461F8812" w14:textId="77777777" w:rsidR="00EF4BB9" w:rsidRPr="00200C22" w:rsidRDefault="00EF4BB9" w:rsidP="00EF4BB9">
      <w:pPr>
        <w:suppressAutoHyphens/>
        <w:spacing w:line="360" w:lineRule="auto"/>
        <w:jc w:val="both"/>
        <w:rPr>
          <w:rFonts w:ascii="Garamond" w:hAnsi="Garamond"/>
          <w:spacing w:val="-3"/>
          <w:lang w:val="pt-BR"/>
        </w:rPr>
      </w:pPr>
    </w:p>
    <w:p w14:paraId="0F32921A" w14:textId="77777777" w:rsidR="00EF4BB9" w:rsidRPr="00200C22" w:rsidRDefault="00EF4BB9" w:rsidP="00EF4BB9">
      <w:pPr>
        <w:suppressAutoHyphens/>
        <w:spacing w:line="360" w:lineRule="auto"/>
        <w:jc w:val="both"/>
        <w:rPr>
          <w:rFonts w:ascii="Garamond" w:hAnsi="Garamond"/>
          <w:spacing w:val="-3"/>
          <w:lang w:val="pt-BR"/>
        </w:rPr>
      </w:pPr>
    </w:p>
    <w:p w14:paraId="221BA2C6" w14:textId="77777777" w:rsidR="00EF4BB9" w:rsidRPr="00200C22" w:rsidRDefault="00EF4BB9" w:rsidP="00EF4BB9">
      <w:pPr>
        <w:suppressAutoHyphens/>
        <w:spacing w:line="360" w:lineRule="auto"/>
        <w:jc w:val="both"/>
        <w:rPr>
          <w:rFonts w:ascii="Garamond" w:hAnsi="Garamond"/>
          <w:spacing w:val="-3"/>
          <w:lang w:val="pt-BR"/>
        </w:rPr>
      </w:pPr>
    </w:p>
    <w:p w14:paraId="194049AB" w14:textId="77777777" w:rsidR="00EF4BB9" w:rsidRPr="00200C22" w:rsidRDefault="00EF4BB9" w:rsidP="00EF4BB9">
      <w:pPr>
        <w:suppressAutoHyphens/>
        <w:spacing w:line="360" w:lineRule="auto"/>
        <w:jc w:val="both"/>
        <w:rPr>
          <w:rFonts w:ascii="Garamond" w:hAnsi="Garamond"/>
          <w:spacing w:val="-3"/>
          <w:lang w:val="pt-BR"/>
        </w:rPr>
      </w:pPr>
    </w:p>
    <w:p w14:paraId="7DAF96A1" w14:textId="77777777" w:rsidR="00EF4BB9" w:rsidRPr="00200C22" w:rsidRDefault="00EF4BB9" w:rsidP="00EF4BB9">
      <w:pPr>
        <w:suppressAutoHyphens/>
        <w:spacing w:line="360" w:lineRule="auto"/>
        <w:jc w:val="both"/>
        <w:rPr>
          <w:rFonts w:ascii="Garamond" w:hAnsi="Garamond"/>
          <w:spacing w:val="-3"/>
          <w:lang w:val="pt-BR"/>
        </w:rPr>
      </w:pPr>
    </w:p>
    <w:p w14:paraId="543293AD" w14:textId="77777777" w:rsidR="00EF4BB9" w:rsidRPr="00200C22" w:rsidRDefault="00EF4BB9" w:rsidP="00EF4BB9">
      <w:pPr>
        <w:spacing w:line="360" w:lineRule="auto"/>
        <w:jc w:val="both"/>
        <w:rPr>
          <w:rFonts w:ascii="Garamond" w:hAnsi="Garamond"/>
          <w:b/>
          <w:spacing w:val="-3"/>
          <w:lang w:val="pt-BR"/>
        </w:rPr>
      </w:pPr>
      <w:r w:rsidRPr="00200C22">
        <w:rPr>
          <w:rFonts w:ascii="Garamond" w:hAnsi="Garamond"/>
          <w:b/>
          <w:spacing w:val="-3"/>
          <w:lang w:val="pt-BR"/>
        </w:rPr>
        <w:tab/>
      </w:r>
      <w:r w:rsidRPr="00200C22">
        <w:rPr>
          <w:rFonts w:ascii="Garamond" w:hAnsi="Garamond"/>
          <w:b/>
          <w:spacing w:val="-3"/>
          <w:lang w:val="pt-BR"/>
        </w:rPr>
        <w:tab/>
      </w:r>
      <w:r w:rsidRPr="00200C22">
        <w:rPr>
          <w:rFonts w:ascii="Garamond" w:hAnsi="Garamond"/>
          <w:b/>
          <w:spacing w:val="-3"/>
          <w:lang w:val="pt-BR"/>
        </w:rPr>
        <w:tab/>
      </w:r>
      <w:r w:rsidRPr="00200C22">
        <w:rPr>
          <w:rFonts w:ascii="Garamond" w:hAnsi="Garamond"/>
          <w:b/>
          <w:spacing w:val="-3"/>
          <w:lang w:val="pt-BR"/>
        </w:rPr>
        <w:tab/>
      </w:r>
    </w:p>
    <w:p w14:paraId="08B440B9" w14:textId="0820EAE5" w:rsidR="00547652" w:rsidRPr="00200C22" w:rsidRDefault="00547652" w:rsidP="00200C22">
      <w:pPr>
        <w:spacing w:line="360" w:lineRule="auto"/>
        <w:ind w:firstLine="708"/>
        <w:jc w:val="both"/>
        <w:rPr>
          <w:rFonts w:ascii="Garamond" w:hAnsi="Garamond"/>
          <w:spacing w:val="-3"/>
          <w:lang w:val="pt-BR"/>
        </w:rPr>
      </w:pPr>
      <w:r w:rsidRPr="00200C22">
        <w:rPr>
          <w:rFonts w:ascii="Garamond" w:hAnsi="Garamond"/>
          <w:b/>
          <w:spacing w:val="-3"/>
          <w:lang w:val="pt-BR"/>
        </w:rPr>
        <w:t>QUALIFICAÇ</w:t>
      </w:r>
      <w:r w:rsidR="00200C22" w:rsidRPr="00200C22">
        <w:rPr>
          <w:rFonts w:ascii="Garamond" w:hAnsi="Garamond"/>
          <w:b/>
          <w:spacing w:val="-3"/>
          <w:lang w:val="pt-BR"/>
        </w:rPr>
        <w:t>Ã</w:t>
      </w:r>
      <w:r w:rsidRPr="00200C22">
        <w:rPr>
          <w:rFonts w:ascii="Garamond" w:hAnsi="Garamond"/>
          <w:b/>
          <w:spacing w:val="-3"/>
          <w:lang w:val="pt-BR"/>
        </w:rPr>
        <w:t>O</w:t>
      </w:r>
      <w:r w:rsidR="00EF4BB9" w:rsidRPr="00200C22">
        <w:rPr>
          <w:rFonts w:ascii="Garamond" w:hAnsi="Garamond"/>
          <w:spacing w:val="-3"/>
          <w:lang w:val="pt-BR"/>
        </w:rPr>
        <w:t xml:space="preserve">, por seu advogado e procurador que esta subscreve, vem, respeitosamente, à presença de Vossa Excelência, com fulcro no artigo 38 da Lei 6.830/80, propor a presente </w:t>
      </w:r>
    </w:p>
    <w:p w14:paraId="24002C17" w14:textId="77777777" w:rsidR="00547652" w:rsidRPr="00200C22" w:rsidRDefault="00547652" w:rsidP="00EF4BB9">
      <w:pPr>
        <w:spacing w:line="360" w:lineRule="auto"/>
        <w:ind w:firstLine="2835"/>
        <w:jc w:val="both"/>
        <w:rPr>
          <w:rFonts w:ascii="Garamond" w:hAnsi="Garamond"/>
          <w:spacing w:val="-3"/>
          <w:lang w:val="pt-BR"/>
        </w:rPr>
      </w:pPr>
    </w:p>
    <w:p w14:paraId="109F1D9A" w14:textId="6F16DAE8" w:rsidR="00547652" w:rsidRPr="00200C22" w:rsidRDefault="00EF4BB9" w:rsidP="00200C22">
      <w:pPr>
        <w:spacing w:line="360" w:lineRule="auto"/>
        <w:jc w:val="center"/>
        <w:rPr>
          <w:rFonts w:ascii="Garamond" w:hAnsi="Garamond"/>
          <w:iCs/>
          <w:lang w:val="pt-BR"/>
        </w:rPr>
      </w:pPr>
      <w:r w:rsidRPr="00200C22">
        <w:rPr>
          <w:rFonts w:ascii="Garamond" w:hAnsi="Garamond"/>
          <w:b/>
          <w:iCs/>
          <w:lang w:val="pt-BR"/>
        </w:rPr>
        <w:t>AÇÃO DECLARATÓRIA DE INEXISTÊNCIA DE RELAÇÃO</w:t>
      </w:r>
      <w:r w:rsidR="00200C22" w:rsidRPr="00200C22">
        <w:rPr>
          <w:rFonts w:ascii="Garamond" w:hAnsi="Garamond"/>
          <w:b/>
          <w:iCs/>
          <w:lang w:val="pt-BR"/>
        </w:rPr>
        <w:t xml:space="preserve"> </w:t>
      </w:r>
      <w:r w:rsidRPr="00200C22">
        <w:rPr>
          <w:rFonts w:ascii="Garamond" w:hAnsi="Garamond"/>
          <w:b/>
          <w:iCs/>
          <w:lang w:val="pt-BR"/>
        </w:rPr>
        <w:t>JURÍDICA TRIBUTÁRIA CUMULADA COM REPETIÇÃO DE</w:t>
      </w:r>
      <w:r w:rsidR="00200C22" w:rsidRPr="00200C22">
        <w:rPr>
          <w:rFonts w:ascii="Garamond" w:hAnsi="Garamond"/>
          <w:b/>
          <w:iCs/>
          <w:lang w:val="pt-BR"/>
        </w:rPr>
        <w:t xml:space="preserve"> </w:t>
      </w:r>
      <w:r w:rsidRPr="00200C22">
        <w:rPr>
          <w:rFonts w:ascii="Garamond" w:hAnsi="Garamond"/>
          <w:b/>
          <w:iCs/>
          <w:lang w:val="pt-BR"/>
        </w:rPr>
        <w:t>INDÉBITO COM PEDIDO DE TUTELA ANTECIPADA DE URGÊNCIA</w:t>
      </w:r>
      <w:r w:rsidR="00200C22" w:rsidRPr="00200C22">
        <w:rPr>
          <w:rFonts w:ascii="Garamond" w:hAnsi="Garamond"/>
          <w:iCs/>
          <w:lang w:val="pt-BR"/>
        </w:rPr>
        <w:t>.</w:t>
      </w:r>
    </w:p>
    <w:p w14:paraId="7108395E" w14:textId="77777777" w:rsidR="00547652" w:rsidRPr="00200C22" w:rsidRDefault="00547652" w:rsidP="00EF4BB9">
      <w:pPr>
        <w:spacing w:line="360" w:lineRule="auto"/>
        <w:ind w:firstLine="2835"/>
        <w:jc w:val="both"/>
        <w:rPr>
          <w:rFonts w:ascii="Garamond" w:hAnsi="Garamond"/>
          <w:lang w:val="pt-BR"/>
        </w:rPr>
      </w:pPr>
    </w:p>
    <w:p w14:paraId="335830FC" w14:textId="279FCD4A" w:rsidR="00EF4BB9" w:rsidRPr="00200C22" w:rsidRDefault="00EF4BB9" w:rsidP="00200C22">
      <w:pPr>
        <w:spacing w:line="360" w:lineRule="auto"/>
        <w:ind w:firstLine="708"/>
        <w:jc w:val="both"/>
        <w:rPr>
          <w:rFonts w:ascii="Garamond" w:hAnsi="Garamond"/>
          <w:lang w:val="pt-BR"/>
        </w:rPr>
      </w:pPr>
      <w:r w:rsidRPr="00200C22">
        <w:rPr>
          <w:rFonts w:ascii="Garamond" w:hAnsi="Garamond"/>
          <w:lang w:val="pt-BR"/>
        </w:rPr>
        <w:t xml:space="preserve">nos moldes dos art. </w:t>
      </w:r>
      <w:r w:rsidR="00200C22" w:rsidRPr="00200C22">
        <w:rPr>
          <w:rFonts w:ascii="Garamond" w:hAnsi="Garamond"/>
          <w:lang w:val="pt-BR"/>
        </w:rPr>
        <w:t>273</w:t>
      </w:r>
      <w:r w:rsidRPr="00200C22">
        <w:rPr>
          <w:rFonts w:ascii="Garamond" w:hAnsi="Garamond"/>
          <w:lang w:val="pt-BR"/>
        </w:rPr>
        <w:t xml:space="preserve"> e seguintes do Novo Código de Processo Civil, em face do </w:t>
      </w:r>
      <w:r w:rsidRPr="00200C22">
        <w:rPr>
          <w:rFonts w:ascii="Garamond" w:hAnsi="Garamond"/>
          <w:b/>
          <w:lang w:val="pt-BR"/>
        </w:rPr>
        <w:t>ESTADO DE GOIÁS</w:t>
      </w:r>
      <w:r w:rsidRPr="00200C22">
        <w:rPr>
          <w:rFonts w:ascii="Garamond" w:hAnsi="Garamond"/>
          <w:bCs/>
          <w:lang w:val="pt-BR"/>
        </w:rPr>
        <w:t>,</w:t>
      </w:r>
      <w:r w:rsidRPr="00200C22">
        <w:rPr>
          <w:rFonts w:ascii="Garamond" w:hAnsi="Garamond"/>
          <w:lang w:val="pt-BR"/>
        </w:rPr>
        <w:t xml:space="preserve"> pessoa jurídica de direito público interno, devendo a citação ocorrer na pessoa do </w:t>
      </w:r>
      <w:r w:rsidRPr="00200C22">
        <w:rPr>
          <w:rFonts w:ascii="Garamond" w:hAnsi="Garamond"/>
          <w:b/>
          <w:lang w:val="pt-BR"/>
        </w:rPr>
        <w:t>PROCURADOR GERAL DO ESTADO DE GOIÁS</w:t>
      </w:r>
      <w:r w:rsidRPr="00200C22">
        <w:rPr>
          <w:rFonts w:ascii="Garamond" w:hAnsi="Garamond"/>
          <w:lang w:val="pt-BR"/>
        </w:rPr>
        <w:t xml:space="preserve">, lotado na </w:t>
      </w:r>
      <w:r w:rsidRPr="00200C22">
        <w:rPr>
          <w:rFonts w:ascii="Garamond" w:hAnsi="Garamond"/>
          <w:b/>
          <w:lang w:val="pt-BR"/>
        </w:rPr>
        <w:t>PROCURADORIA GERAL DO ESTADO</w:t>
      </w:r>
      <w:r w:rsidRPr="00200C22">
        <w:rPr>
          <w:rFonts w:ascii="Garamond" w:hAnsi="Garamond"/>
          <w:lang w:val="pt-BR"/>
        </w:rPr>
        <w:t xml:space="preserve">, localizada na </w:t>
      </w:r>
      <w:r w:rsidRPr="00200C22">
        <w:rPr>
          <w:rStyle w:val="Forte"/>
          <w:rFonts w:ascii="Garamond" w:hAnsi="Garamond"/>
          <w:b w:val="0"/>
          <w:bdr w:val="none" w:sz="0" w:space="0" w:color="auto" w:frame="1"/>
          <w:shd w:val="clear" w:color="auto" w:fill="FFFFFF"/>
          <w:lang w:val="pt-BR"/>
        </w:rPr>
        <w:t>Praça Dr. Pedro Ludovico Teixeira, n° 03, Centro, Goiânia - Goiás, CEP – 74.003-010</w:t>
      </w:r>
      <w:r w:rsidRPr="00200C22">
        <w:rPr>
          <w:rFonts w:ascii="Garamond" w:hAnsi="Garamond"/>
          <w:b/>
          <w:lang w:val="pt-BR"/>
        </w:rPr>
        <w:t>,</w:t>
      </w:r>
      <w:r w:rsidRPr="00200C22">
        <w:rPr>
          <w:rFonts w:ascii="Garamond" w:hAnsi="Garamond"/>
          <w:lang w:val="pt-BR"/>
        </w:rPr>
        <w:t xml:space="preserve"> pelos fatos e fundamentos jurídicos adiante articulados.</w:t>
      </w:r>
    </w:p>
    <w:p w14:paraId="595C04EB" w14:textId="77777777" w:rsidR="00EF4BB9" w:rsidRPr="00200C22" w:rsidRDefault="00EF4BB9" w:rsidP="00EF4BB9">
      <w:pPr>
        <w:spacing w:line="360" w:lineRule="auto"/>
        <w:ind w:firstLine="2835"/>
        <w:jc w:val="both"/>
        <w:rPr>
          <w:rFonts w:ascii="Garamond" w:hAnsi="Garamond"/>
          <w:lang w:val="pt-BR"/>
        </w:rPr>
      </w:pPr>
    </w:p>
    <w:p w14:paraId="3A358F40" w14:textId="77777777" w:rsidR="00EF4BB9" w:rsidRPr="00200C22" w:rsidRDefault="00EF4BB9" w:rsidP="00EF4BB9">
      <w:pPr>
        <w:spacing w:line="360" w:lineRule="auto"/>
        <w:ind w:firstLine="2835"/>
        <w:jc w:val="both"/>
        <w:rPr>
          <w:rFonts w:ascii="Garamond" w:hAnsi="Garamond"/>
          <w:lang w:val="pt-BR"/>
        </w:rPr>
      </w:pPr>
    </w:p>
    <w:p w14:paraId="33C568F6" w14:textId="77777777" w:rsidR="00EF4BB9" w:rsidRPr="00200C22" w:rsidRDefault="00EF4BB9" w:rsidP="00EF4BB9">
      <w:pPr>
        <w:suppressAutoHyphens/>
        <w:spacing w:line="360" w:lineRule="auto"/>
        <w:jc w:val="both"/>
        <w:rPr>
          <w:rFonts w:ascii="Garamond" w:hAnsi="Garamond"/>
          <w:spacing w:val="-3"/>
          <w:lang w:val="pt-BR"/>
        </w:rPr>
      </w:pPr>
    </w:p>
    <w:p w14:paraId="37586F9F" w14:textId="573C74F7" w:rsidR="00EF4BB9" w:rsidRPr="00200C22" w:rsidRDefault="00EF4BB9" w:rsidP="00EF4BB9">
      <w:pPr>
        <w:tabs>
          <w:tab w:val="left" w:pos="-720"/>
        </w:tabs>
        <w:suppressAutoHyphens/>
        <w:spacing w:line="360" w:lineRule="auto"/>
        <w:jc w:val="both"/>
        <w:rPr>
          <w:rFonts w:ascii="Garamond" w:hAnsi="Garamond"/>
          <w:b/>
          <w:spacing w:val="-3"/>
          <w:lang w:val="pt-BR"/>
        </w:rPr>
      </w:pPr>
      <w:r w:rsidRPr="00200C22">
        <w:rPr>
          <w:rFonts w:ascii="Garamond" w:hAnsi="Garamond"/>
          <w:b/>
          <w:spacing w:val="-3"/>
          <w:lang w:val="pt-BR"/>
        </w:rPr>
        <w:t>1.</w:t>
      </w:r>
      <w:r w:rsidRPr="00200C22">
        <w:rPr>
          <w:rFonts w:ascii="Garamond" w:hAnsi="Garamond"/>
          <w:spacing w:val="-3"/>
          <w:lang w:val="pt-BR"/>
        </w:rPr>
        <w:t xml:space="preserve"> </w:t>
      </w:r>
      <w:r w:rsidRPr="00200C22">
        <w:rPr>
          <w:rFonts w:ascii="Garamond" w:hAnsi="Garamond"/>
          <w:b/>
          <w:spacing w:val="-3"/>
          <w:lang w:val="pt-BR"/>
        </w:rPr>
        <w:t>DA SÍNTESE FÁTICA</w:t>
      </w:r>
    </w:p>
    <w:p w14:paraId="56BF00D3" w14:textId="77777777" w:rsidR="00EF4BB9" w:rsidRPr="00200C22" w:rsidRDefault="00EF4BB9" w:rsidP="00EF4BB9">
      <w:pPr>
        <w:tabs>
          <w:tab w:val="left" w:pos="-720"/>
        </w:tabs>
        <w:suppressAutoHyphens/>
        <w:spacing w:line="360" w:lineRule="auto"/>
        <w:jc w:val="both"/>
        <w:rPr>
          <w:rFonts w:ascii="Garamond" w:hAnsi="Garamond"/>
          <w:spacing w:val="-3"/>
          <w:lang w:val="pt-BR"/>
        </w:rPr>
      </w:pPr>
    </w:p>
    <w:p w14:paraId="788F853A" w14:textId="52CCD852" w:rsidR="00EF4BB9" w:rsidRPr="00200C22" w:rsidRDefault="00EF4BB9" w:rsidP="00EF4BB9">
      <w:pPr>
        <w:pStyle w:val="Corpodetexto3"/>
        <w:rPr>
          <w:rFonts w:ascii="Garamond" w:hAnsi="Garamond"/>
          <w:sz w:val="24"/>
          <w:szCs w:val="24"/>
        </w:rPr>
      </w:pPr>
      <w:r w:rsidRPr="00200C22">
        <w:rPr>
          <w:rFonts w:ascii="Garamond" w:hAnsi="Garamond"/>
          <w:sz w:val="24"/>
          <w:szCs w:val="24"/>
        </w:rPr>
        <w:t xml:space="preserve"> </w:t>
      </w:r>
      <w:r w:rsidRPr="00200C22">
        <w:rPr>
          <w:rFonts w:ascii="Garamond" w:hAnsi="Garamond"/>
          <w:sz w:val="24"/>
          <w:szCs w:val="24"/>
        </w:rPr>
        <w:tab/>
        <w:t>A autora, conforme Contrato Social anexo dedica-se à exploração do ramo de serviços gráficos de impressão e produção de impressos promocionais, de expediente, segurança, formulários contínuos, entre outras atividades gráficas e, desta forma, é grande consumidora de eletricidade possuindo uma elevada despesa mensal com tal fonte de energia.</w:t>
      </w:r>
    </w:p>
    <w:p w14:paraId="34F6F576" w14:textId="77777777" w:rsidR="00EF4BB9" w:rsidRPr="00200C22" w:rsidRDefault="00EF4BB9" w:rsidP="00EF4BB9">
      <w:pPr>
        <w:pStyle w:val="Corpodetexto3"/>
        <w:rPr>
          <w:rFonts w:ascii="Garamond" w:hAnsi="Garamond"/>
          <w:sz w:val="24"/>
          <w:szCs w:val="24"/>
        </w:rPr>
      </w:pPr>
    </w:p>
    <w:p w14:paraId="01337F38" w14:textId="17939783" w:rsidR="00EF4BB9" w:rsidRPr="00200C22" w:rsidRDefault="00200C22" w:rsidP="00200C22">
      <w:pPr>
        <w:pStyle w:val="Corpodetexto3"/>
        <w:rPr>
          <w:rFonts w:ascii="Garamond" w:hAnsi="Garamond"/>
          <w:sz w:val="24"/>
          <w:szCs w:val="24"/>
        </w:rPr>
      </w:pPr>
      <w:r w:rsidRPr="00200C22">
        <w:rPr>
          <w:rFonts w:ascii="Garamond" w:hAnsi="Garamond"/>
          <w:sz w:val="24"/>
          <w:szCs w:val="24"/>
        </w:rPr>
        <w:tab/>
      </w:r>
      <w:r w:rsidR="00EF4BB9" w:rsidRPr="00200C22">
        <w:rPr>
          <w:rFonts w:ascii="Garamond" w:hAnsi="Garamond"/>
          <w:sz w:val="24"/>
          <w:szCs w:val="24"/>
        </w:rPr>
        <w:t xml:space="preserve">Importante destacar que todas as faturas são pagas pontualmente, incluindo os tributos incidentes sobre esse consumo </w:t>
      </w:r>
      <w:r w:rsidR="00EF4BB9" w:rsidRPr="00200C22">
        <w:rPr>
          <w:rFonts w:ascii="Garamond" w:hAnsi="Garamond"/>
          <w:b/>
          <w:sz w:val="24"/>
          <w:szCs w:val="24"/>
        </w:rPr>
        <w:t>(ICMS</w:t>
      </w:r>
      <w:r w:rsidR="00EF4BB9" w:rsidRPr="00200C22">
        <w:rPr>
          <w:rFonts w:ascii="Garamond" w:hAnsi="Garamond"/>
          <w:sz w:val="24"/>
          <w:szCs w:val="24"/>
        </w:rPr>
        <w:t xml:space="preserve">, </w:t>
      </w:r>
      <w:r w:rsidR="00EF4BB9" w:rsidRPr="00200C22">
        <w:rPr>
          <w:rFonts w:ascii="Garamond" w:hAnsi="Garamond"/>
          <w:b/>
          <w:sz w:val="24"/>
          <w:szCs w:val="24"/>
        </w:rPr>
        <w:t>PIS</w:t>
      </w:r>
      <w:r w:rsidR="00EF4BB9" w:rsidRPr="00200C22">
        <w:rPr>
          <w:rFonts w:ascii="Garamond" w:hAnsi="Garamond"/>
          <w:sz w:val="24"/>
          <w:szCs w:val="24"/>
        </w:rPr>
        <w:t xml:space="preserve"> e </w:t>
      </w:r>
      <w:r w:rsidR="00EF4BB9" w:rsidRPr="00200C22">
        <w:rPr>
          <w:rFonts w:ascii="Garamond" w:hAnsi="Garamond"/>
          <w:b/>
          <w:sz w:val="24"/>
          <w:szCs w:val="24"/>
        </w:rPr>
        <w:t>COFINS)</w:t>
      </w:r>
      <w:r w:rsidR="00EF4BB9" w:rsidRPr="00200C22">
        <w:rPr>
          <w:rFonts w:ascii="Garamond" w:hAnsi="Garamond"/>
          <w:sz w:val="24"/>
          <w:szCs w:val="24"/>
        </w:rPr>
        <w:t>, conforme demonstram as faturas de energia elétrica anexas, emitidas pela “CELG DISTRIBUIÇÃO S/A”.</w:t>
      </w:r>
    </w:p>
    <w:p w14:paraId="2FA44888" w14:textId="77777777" w:rsidR="00EF4BB9" w:rsidRPr="00200C22" w:rsidRDefault="00EF4BB9" w:rsidP="00EF4BB9">
      <w:pPr>
        <w:pStyle w:val="Corpodetexto3"/>
        <w:ind w:firstLine="2835"/>
        <w:rPr>
          <w:rFonts w:ascii="Garamond" w:hAnsi="Garamond"/>
          <w:sz w:val="24"/>
          <w:szCs w:val="24"/>
        </w:rPr>
      </w:pPr>
    </w:p>
    <w:p w14:paraId="4C7F644C" w14:textId="14282847" w:rsidR="00EF4BB9" w:rsidRPr="00200C22" w:rsidRDefault="00200C22" w:rsidP="00200C22">
      <w:pPr>
        <w:pStyle w:val="Corpodetexto3"/>
        <w:rPr>
          <w:rFonts w:ascii="Garamond" w:hAnsi="Garamond"/>
          <w:sz w:val="24"/>
          <w:szCs w:val="24"/>
        </w:rPr>
      </w:pPr>
      <w:r w:rsidRPr="00200C22">
        <w:rPr>
          <w:rFonts w:ascii="Garamond" w:hAnsi="Garamond"/>
          <w:sz w:val="24"/>
          <w:szCs w:val="24"/>
        </w:rPr>
        <w:tab/>
      </w:r>
      <w:r w:rsidR="00EF4BB9" w:rsidRPr="00200C22">
        <w:rPr>
          <w:rFonts w:ascii="Garamond" w:hAnsi="Garamond"/>
          <w:sz w:val="24"/>
          <w:szCs w:val="24"/>
        </w:rPr>
        <w:t xml:space="preserve">Tais faturas revelam ainda, a cobrança, pelo Estado de Goiás, de ICMS sobre a base de cálculo superior àquela prevista constitucionalmente. Na realidade, o tributo em questão não está incidindo somente sobre o valor da mercadoria circulada, vale dizer, </w:t>
      </w:r>
      <w:r w:rsidR="00EF4BB9" w:rsidRPr="00200C22">
        <w:rPr>
          <w:rFonts w:ascii="Garamond" w:hAnsi="Garamond"/>
          <w:b/>
          <w:sz w:val="24"/>
          <w:szCs w:val="24"/>
        </w:rPr>
        <w:t>SOBRE A ENERGIA EFETIVAMENTE CONSUMIDA</w:t>
      </w:r>
      <w:r w:rsidR="00EF4BB9" w:rsidRPr="00200C22">
        <w:rPr>
          <w:rFonts w:ascii="Garamond" w:hAnsi="Garamond"/>
          <w:sz w:val="24"/>
          <w:szCs w:val="24"/>
        </w:rPr>
        <w:t>, mas também sobre as tarifas de uso do sistema de transmissão e distribuição de energia, conhecidas pelas siglas “TUST” e “TUSD”.</w:t>
      </w:r>
    </w:p>
    <w:p w14:paraId="4E378340" w14:textId="77777777" w:rsidR="00EF4BB9" w:rsidRPr="00200C22" w:rsidRDefault="00EF4BB9" w:rsidP="00EF4BB9">
      <w:pPr>
        <w:pStyle w:val="Corpodetexto3"/>
        <w:rPr>
          <w:rFonts w:ascii="Garamond" w:hAnsi="Garamond"/>
          <w:sz w:val="24"/>
          <w:szCs w:val="24"/>
        </w:rPr>
      </w:pPr>
    </w:p>
    <w:p w14:paraId="42B302EB" w14:textId="639DDB4C" w:rsidR="00EF4BB9" w:rsidRPr="00200C22" w:rsidRDefault="00200C22" w:rsidP="00200C22">
      <w:pPr>
        <w:pStyle w:val="Corpodetexto3"/>
        <w:rPr>
          <w:rFonts w:ascii="Garamond" w:hAnsi="Garamond"/>
          <w:sz w:val="24"/>
          <w:szCs w:val="24"/>
        </w:rPr>
      </w:pPr>
      <w:r w:rsidRPr="00200C22">
        <w:rPr>
          <w:rFonts w:ascii="Garamond" w:hAnsi="Garamond"/>
          <w:sz w:val="24"/>
          <w:szCs w:val="24"/>
        </w:rPr>
        <w:tab/>
      </w:r>
      <w:r w:rsidR="00EF4BB9" w:rsidRPr="00200C22">
        <w:rPr>
          <w:rFonts w:ascii="Garamond" w:hAnsi="Garamond"/>
          <w:sz w:val="24"/>
          <w:szCs w:val="24"/>
        </w:rPr>
        <w:t>Eis o ponto nodal da presente ação. Isso porque, o custeio da transmissão e distribuição da energia elétrica é realizado por meio das referidas tarifas (TUSD/TUST), as quais estão devidamente discriminadas nas faturas recebidas pela contribuinte, e compõem a base de cálculo do ICMS exigido na operação, ou seja, oneram sobremaneira o valor final a ser pago pela autora.</w:t>
      </w:r>
    </w:p>
    <w:p w14:paraId="6883D4F3" w14:textId="77777777" w:rsidR="00EF4BB9" w:rsidRPr="00200C22" w:rsidRDefault="00EF4BB9" w:rsidP="00EF4BB9">
      <w:pPr>
        <w:pStyle w:val="Corpodetexto3"/>
        <w:ind w:firstLine="2835"/>
        <w:rPr>
          <w:rFonts w:ascii="Garamond" w:hAnsi="Garamond"/>
          <w:sz w:val="24"/>
          <w:szCs w:val="24"/>
        </w:rPr>
      </w:pPr>
    </w:p>
    <w:p w14:paraId="248D577B" w14:textId="39F2D298" w:rsidR="00EF4BB9" w:rsidRPr="00200C22" w:rsidRDefault="00200C22" w:rsidP="00200C22">
      <w:pPr>
        <w:pStyle w:val="Corpodetexto3"/>
        <w:rPr>
          <w:rFonts w:ascii="Garamond" w:hAnsi="Garamond"/>
          <w:sz w:val="24"/>
          <w:szCs w:val="24"/>
        </w:rPr>
      </w:pPr>
      <w:r w:rsidRPr="00200C22">
        <w:rPr>
          <w:rFonts w:ascii="Garamond" w:hAnsi="Garamond"/>
          <w:sz w:val="24"/>
          <w:szCs w:val="24"/>
        </w:rPr>
        <w:tab/>
      </w:r>
      <w:r w:rsidR="00EF4BB9" w:rsidRPr="00200C22">
        <w:rPr>
          <w:rFonts w:ascii="Garamond" w:hAnsi="Garamond"/>
          <w:sz w:val="24"/>
          <w:szCs w:val="24"/>
        </w:rPr>
        <w:t xml:space="preserve">Noutras palavras, </w:t>
      </w:r>
      <w:r w:rsidR="00EF4BB9" w:rsidRPr="00200C22">
        <w:rPr>
          <w:rFonts w:ascii="Garamond" w:hAnsi="Garamond"/>
          <w:i/>
          <w:sz w:val="24"/>
          <w:szCs w:val="24"/>
        </w:rPr>
        <w:t xml:space="preserve">in </w:t>
      </w:r>
      <w:proofErr w:type="spellStart"/>
      <w:r w:rsidR="00EF4BB9" w:rsidRPr="00200C22">
        <w:rPr>
          <w:rFonts w:ascii="Garamond" w:hAnsi="Garamond"/>
          <w:i/>
          <w:sz w:val="24"/>
          <w:szCs w:val="24"/>
        </w:rPr>
        <w:t>casu</w:t>
      </w:r>
      <w:proofErr w:type="spellEnd"/>
      <w:r w:rsidR="00EF4BB9" w:rsidRPr="00200C22">
        <w:rPr>
          <w:rFonts w:ascii="Garamond" w:hAnsi="Garamond"/>
          <w:sz w:val="24"/>
          <w:szCs w:val="24"/>
        </w:rPr>
        <w:t>, o ICMS NÃO INCIDE SOMENTE SOBRE O VALOR DA ENERGIA EFETIVAMENTE CONSUMIDA, EM ABSOLUTO. TAMBÉM INCIDE SOBRE OS VALORES DAS TARIFAS TUSD E TUST, FATO ESTE QUE VAI DE ENCONTRO À JURISPRUDÊNCIA CONSOLIDADA DO EGRÉGIO TRIBUNAL DE JUSTIÇA DO ESTADO DE GOIÁS E DO SUPERIOR TRIBUNAL DE JUSTIÇA.</w:t>
      </w:r>
    </w:p>
    <w:p w14:paraId="5D61BE0F" w14:textId="77777777" w:rsidR="00EF4BB9" w:rsidRPr="00200C22" w:rsidRDefault="00EF4BB9" w:rsidP="00EF4BB9">
      <w:pPr>
        <w:pStyle w:val="Corpodetexto3"/>
        <w:ind w:firstLine="2835"/>
        <w:rPr>
          <w:rFonts w:ascii="Garamond" w:hAnsi="Garamond"/>
          <w:sz w:val="24"/>
          <w:szCs w:val="24"/>
        </w:rPr>
      </w:pPr>
    </w:p>
    <w:p w14:paraId="09C51E05" w14:textId="3385DED8" w:rsidR="00EF4BB9" w:rsidRPr="00200C22" w:rsidRDefault="00200C22" w:rsidP="00200C22">
      <w:pPr>
        <w:pStyle w:val="Corpodetexto3"/>
        <w:rPr>
          <w:rFonts w:ascii="Garamond" w:hAnsi="Garamond"/>
          <w:sz w:val="24"/>
          <w:szCs w:val="24"/>
        </w:rPr>
      </w:pPr>
      <w:r w:rsidRPr="00200C22">
        <w:rPr>
          <w:rFonts w:ascii="Garamond" w:hAnsi="Garamond"/>
          <w:sz w:val="24"/>
          <w:szCs w:val="24"/>
        </w:rPr>
        <w:tab/>
      </w:r>
      <w:r w:rsidR="00EF4BB9" w:rsidRPr="00200C22">
        <w:rPr>
          <w:rFonts w:ascii="Garamond" w:hAnsi="Garamond"/>
          <w:sz w:val="24"/>
          <w:szCs w:val="24"/>
        </w:rPr>
        <w:t xml:space="preserve">Bem por isso, o que se pretende com a presente ação é justamente a declaração de inexistência de relação jurídico-tributária quanto ao recolhimento de ICMS incidente sobre os encargos de transmissão e conexão na entrada de energia elétrica, especialmente no que tange às Tarifas de Uso do Sistema de Transmissão </w:t>
      </w:r>
      <w:r w:rsidR="00EF4BB9" w:rsidRPr="00200C22">
        <w:rPr>
          <w:rFonts w:ascii="Garamond" w:hAnsi="Garamond"/>
          <w:b/>
          <w:sz w:val="24"/>
          <w:szCs w:val="24"/>
        </w:rPr>
        <w:t>(TUST)</w:t>
      </w:r>
      <w:r w:rsidR="00EF4BB9" w:rsidRPr="00200C22">
        <w:rPr>
          <w:rFonts w:ascii="Garamond" w:hAnsi="Garamond"/>
          <w:sz w:val="24"/>
          <w:szCs w:val="24"/>
        </w:rPr>
        <w:t xml:space="preserve"> e Distribuição </w:t>
      </w:r>
      <w:r w:rsidR="00EF4BB9" w:rsidRPr="00200C22">
        <w:rPr>
          <w:rFonts w:ascii="Garamond" w:hAnsi="Garamond"/>
          <w:b/>
          <w:sz w:val="24"/>
          <w:szCs w:val="24"/>
        </w:rPr>
        <w:t>(TUSD)</w:t>
      </w:r>
      <w:r w:rsidR="00EF4BB9" w:rsidRPr="00200C22">
        <w:rPr>
          <w:rFonts w:ascii="Garamond" w:hAnsi="Garamond"/>
          <w:sz w:val="24"/>
          <w:szCs w:val="24"/>
        </w:rPr>
        <w:t>, sendo de rigor a repetição do indébito tributário e a cessação incontinenti de sua cobrança.</w:t>
      </w:r>
    </w:p>
    <w:p w14:paraId="6A1D4DC0" w14:textId="77777777" w:rsidR="00EF4BB9" w:rsidRPr="00200C22" w:rsidRDefault="00EF4BB9" w:rsidP="00EF4BB9">
      <w:pPr>
        <w:pStyle w:val="Corpodetexto3"/>
        <w:rPr>
          <w:rFonts w:ascii="Garamond" w:hAnsi="Garamond"/>
          <w:sz w:val="24"/>
          <w:szCs w:val="24"/>
        </w:rPr>
      </w:pPr>
    </w:p>
    <w:p w14:paraId="013CB7D7" w14:textId="77777777" w:rsidR="00EF4BB9" w:rsidRPr="00200C22" w:rsidRDefault="00EF4BB9" w:rsidP="00200C22">
      <w:pPr>
        <w:pStyle w:val="Corpodetexto3"/>
        <w:rPr>
          <w:rFonts w:ascii="Garamond" w:hAnsi="Garamond"/>
          <w:b/>
          <w:sz w:val="24"/>
          <w:szCs w:val="24"/>
        </w:rPr>
      </w:pPr>
      <w:r w:rsidRPr="00200C22">
        <w:rPr>
          <w:rFonts w:ascii="Garamond" w:hAnsi="Garamond"/>
          <w:b/>
          <w:sz w:val="24"/>
          <w:szCs w:val="24"/>
        </w:rPr>
        <w:t>2. DO MÉRITO</w:t>
      </w:r>
    </w:p>
    <w:p w14:paraId="1165549A" w14:textId="77777777" w:rsidR="00EF4BB9" w:rsidRPr="00200C22" w:rsidRDefault="00EF4BB9" w:rsidP="00EF4BB9">
      <w:pPr>
        <w:pStyle w:val="Corpodetexto3"/>
        <w:ind w:firstLine="2835"/>
        <w:rPr>
          <w:rFonts w:ascii="Garamond" w:hAnsi="Garamond"/>
          <w:b/>
          <w:sz w:val="24"/>
          <w:szCs w:val="24"/>
        </w:rPr>
      </w:pPr>
    </w:p>
    <w:p w14:paraId="776B52D6" w14:textId="77777777" w:rsidR="00EF4BB9" w:rsidRPr="00200C22" w:rsidRDefault="00EF4BB9" w:rsidP="00200C22">
      <w:pPr>
        <w:tabs>
          <w:tab w:val="left" w:pos="-720"/>
        </w:tabs>
        <w:suppressAutoHyphens/>
        <w:spacing w:line="360" w:lineRule="auto"/>
        <w:jc w:val="both"/>
        <w:rPr>
          <w:rFonts w:ascii="Garamond" w:hAnsi="Garamond"/>
          <w:b/>
          <w:lang w:val="pt-BR"/>
        </w:rPr>
      </w:pPr>
      <w:r w:rsidRPr="00200C22">
        <w:rPr>
          <w:rFonts w:ascii="Garamond" w:hAnsi="Garamond"/>
          <w:b/>
          <w:lang w:val="pt-BR"/>
        </w:rPr>
        <w:t xml:space="preserve">2.1. DA NÃO INCIDÊNCIA DO ICMS SOBRE O VALOR DAS TARIFAS DE USO E DISTRIBUIÇÃO DE ENERGIA ELÉTRICA – </w:t>
      </w:r>
      <w:r w:rsidRPr="00200C22">
        <w:rPr>
          <w:rFonts w:ascii="Garamond" w:hAnsi="Garamond"/>
          <w:b/>
          <w:i/>
          <w:lang w:val="pt-BR"/>
        </w:rPr>
        <w:t>TUST</w:t>
      </w:r>
      <w:r w:rsidRPr="00200C22">
        <w:rPr>
          <w:rFonts w:ascii="Garamond" w:hAnsi="Garamond"/>
          <w:b/>
          <w:lang w:val="pt-BR"/>
        </w:rPr>
        <w:t xml:space="preserve"> E </w:t>
      </w:r>
      <w:r w:rsidRPr="00200C22">
        <w:rPr>
          <w:rFonts w:ascii="Garamond" w:hAnsi="Garamond"/>
          <w:b/>
          <w:i/>
          <w:lang w:val="pt-BR"/>
        </w:rPr>
        <w:t>TUSD</w:t>
      </w:r>
    </w:p>
    <w:p w14:paraId="6B55DE9A" w14:textId="77777777" w:rsidR="00EF4BB9" w:rsidRPr="00200C22" w:rsidRDefault="00EF4BB9" w:rsidP="00EF4BB9">
      <w:pPr>
        <w:spacing w:line="360" w:lineRule="auto"/>
        <w:jc w:val="both"/>
        <w:rPr>
          <w:rFonts w:ascii="Garamond" w:hAnsi="Garamond"/>
          <w:spacing w:val="-3"/>
          <w:lang w:val="pt-BR"/>
        </w:rPr>
      </w:pPr>
    </w:p>
    <w:p w14:paraId="5849B01B" w14:textId="2B331DCD"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lastRenderedPageBreak/>
        <w:t>Com adiantado inicialmente, a presente ação tem como objetivo a exclusão da TUST e TUSD, da base de cálculo do ICMS sobre o fornecimento de energia elétrica à autora, e, por consequência lógica, a repetição dos valores pagos indevidamente pela contribuinte.</w:t>
      </w:r>
    </w:p>
    <w:p w14:paraId="3777D389" w14:textId="77777777" w:rsidR="00200C22" w:rsidRPr="00200C22" w:rsidRDefault="00200C22" w:rsidP="00200C22">
      <w:pPr>
        <w:spacing w:line="360" w:lineRule="auto"/>
        <w:jc w:val="both"/>
        <w:rPr>
          <w:rFonts w:ascii="Garamond" w:hAnsi="Garamond"/>
          <w:spacing w:val="-3"/>
          <w:lang w:val="pt-BR"/>
        </w:rPr>
      </w:pPr>
    </w:p>
    <w:p w14:paraId="7DA7353A" w14:textId="630AFC24"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 xml:space="preserve">Nesse passo, não sobeja lembrar que o ICMS é um imposto que incide sobre </w:t>
      </w:r>
      <w:r w:rsidRPr="00200C22">
        <w:rPr>
          <w:rFonts w:ascii="Garamond" w:hAnsi="Garamond"/>
          <w:i/>
          <w:spacing w:val="-3"/>
          <w:lang w:val="pt-BR"/>
        </w:rPr>
        <w:t>“operações relativas à circulação de mercadorias e sobre prestações de serviços de transporte interestadual e intermunicipal e de comunicação”</w:t>
      </w:r>
      <w:r w:rsidRPr="00200C22">
        <w:rPr>
          <w:rFonts w:ascii="Garamond" w:hAnsi="Garamond"/>
          <w:spacing w:val="-3"/>
          <w:lang w:val="pt-BR"/>
        </w:rPr>
        <w:t xml:space="preserve"> (art. 155, II, CF/88).</w:t>
      </w:r>
    </w:p>
    <w:p w14:paraId="12B1FD11" w14:textId="77777777" w:rsidR="00EF4BB9" w:rsidRPr="00200C22" w:rsidRDefault="00EF4BB9" w:rsidP="00EF4BB9">
      <w:pPr>
        <w:spacing w:line="360" w:lineRule="auto"/>
        <w:ind w:firstLine="2835"/>
        <w:jc w:val="both"/>
        <w:rPr>
          <w:rFonts w:ascii="Garamond" w:hAnsi="Garamond"/>
          <w:spacing w:val="-3"/>
          <w:lang w:val="pt-BR"/>
        </w:rPr>
      </w:pPr>
    </w:p>
    <w:p w14:paraId="5146268E" w14:textId="77777777"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A energia elétrica, peculiarmente, é equiparada a mercadoria para fins de incidência do ICMS, e o seu fato gerador ocorre no momento do efetivo uso pelo consumidor, nos termos do artigo 155, inciso II, da Constituição Federal de 1988, combinado com os artigos 34, 9º, do ADCT e artigo 2º, inciso III da Lei Complementar Nacional n.º 87/1996.</w:t>
      </w:r>
    </w:p>
    <w:p w14:paraId="0B41E3F7" w14:textId="77777777" w:rsidR="00EF4BB9" w:rsidRPr="00200C22" w:rsidRDefault="00EF4BB9" w:rsidP="00EF4BB9">
      <w:pPr>
        <w:spacing w:line="360" w:lineRule="auto"/>
        <w:ind w:firstLine="2835"/>
        <w:jc w:val="both"/>
        <w:rPr>
          <w:rFonts w:ascii="Garamond" w:hAnsi="Garamond"/>
          <w:spacing w:val="-3"/>
          <w:lang w:val="pt-BR"/>
        </w:rPr>
      </w:pPr>
    </w:p>
    <w:p w14:paraId="79D32E0E" w14:textId="77777777"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 xml:space="preserve">A hipótese de incidência do ICMS sobre a </w:t>
      </w:r>
      <w:r w:rsidRPr="00200C22">
        <w:rPr>
          <w:rFonts w:ascii="Garamond" w:hAnsi="Garamond"/>
          <w:b/>
          <w:spacing w:val="-3"/>
          <w:lang w:val="pt-BR"/>
        </w:rPr>
        <w:t>“circulação da energia elétrica”</w:t>
      </w:r>
      <w:r w:rsidRPr="00200C22">
        <w:rPr>
          <w:rFonts w:ascii="Garamond" w:hAnsi="Garamond"/>
          <w:spacing w:val="-3"/>
          <w:lang w:val="pt-BR"/>
        </w:rPr>
        <w:t>, portanto, é perfectibilizada com a entrega do produto no estabelecimento empresarial, de modo a ser efetivamente consumida.</w:t>
      </w:r>
    </w:p>
    <w:p w14:paraId="359AB92F" w14:textId="77777777" w:rsidR="00EF4BB9" w:rsidRPr="00200C22" w:rsidRDefault="00EF4BB9" w:rsidP="00EF4BB9">
      <w:pPr>
        <w:spacing w:line="360" w:lineRule="auto"/>
        <w:ind w:firstLine="2835"/>
        <w:jc w:val="both"/>
        <w:rPr>
          <w:rFonts w:ascii="Garamond" w:hAnsi="Garamond"/>
          <w:spacing w:val="-3"/>
          <w:lang w:val="pt-BR"/>
        </w:rPr>
      </w:pPr>
    </w:p>
    <w:p w14:paraId="0BBF21B6" w14:textId="77777777"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Com efeito, é com a tradição da energia elétrica para o estabelecimento consumidor que nasce a obrigação de pagar o ICMS. Aliás, forçoso lembrar que é por meio do “relógio medidor”</w:t>
      </w:r>
      <w:r w:rsidRPr="00200C22">
        <w:rPr>
          <w:rStyle w:val="Refdenotaderodap"/>
          <w:rFonts w:ascii="Garamond" w:hAnsi="Garamond"/>
          <w:spacing w:val="-3"/>
        </w:rPr>
        <w:footnoteReference w:id="1"/>
      </w:r>
      <w:r w:rsidRPr="00200C22">
        <w:rPr>
          <w:rFonts w:ascii="Garamond" w:hAnsi="Garamond"/>
          <w:spacing w:val="-3"/>
          <w:lang w:val="pt-BR"/>
        </w:rPr>
        <w:t xml:space="preserve"> que a distribuidora </w:t>
      </w:r>
      <w:r w:rsidRPr="00200C22">
        <w:rPr>
          <w:rFonts w:ascii="Garamond" w:hAnsi="Garamond"/>
          <w:i/>
          <w:spacing w:val="-3"/>
          <w:lang w:val="pt-BR"/>
        </w:rPr>
        <w:t>(CELG)</w:t>
      </w:r>
      <w:r w:rsidRPr="00200C22">
        <w:rPr>
          <w:rFonts w:ascii="Garamond" w:hAnsi="Garamond"/>
          <w:spacing w:val="-3"/>
          <w:lang w:val="pt-BR"/>
        </w:rPr>
        <w:t xml:space="preserve"> pode quantificar/precificar a quantidade de energia EFETIVAMENTE consumida pelo contribuinte, e cobrar o valor teoricamente devido.</w:t>
      </w:r>
    </w:p>
    <w:p w14:paraId="3E7CEA3B" w14:textId="77777777" w:rsidR="00EF4BB9" w:rsidRPr="00200C22" w:rsidRDefault="00EF4BB9" w:rsidP="00EF4BB9">
      <w:pPr>
        <w:spacing w:line="360" w:lineRule="auto"/>
        <w:ind w:firstLine="2835"/>
        <w:jc w:val="both"/>
        <w:rPr>
          <w:rFonts w:ascii="Garamond" w:hAnsi="Garamond"/>
          <w:spacing w:val="-3"/>
          <w:lang w:val="pt-BR"/>
        </w:rPr>
      </w:pPr>
    </w:p>
    <w:p w14:paraId="5932AC3A" w14:textId="77777777"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O grande problema é que a “CELG”, por imposição expressa do Estado de Goiás, hospedada no artigo 9º, inciso I e no artigo 30-A, § 1º, Anexo VIII, ambos do RICMS/GO, inclui na base de cálculo do ICMS incidente sobre a operação o valor das tarifas que remuneram a transmissão e a distribuição da energia elétrica, de modo a violar o quanto disposto no artigo 150, inciso I da CF/88:</w:t>
      </w:r>
    </w:p>
    <w:p w14:paraId="08062243" w14:textId="77777777" w:rsidR="00EF4BB9" w:rsidRPr="00200C22" w:rsidRDefault="00EF4BB9" w:rsidP="00EF4BB9">
      <w:pPr>
        <w:jc w:val="both"/>
        <w:rPr>
          <w:rFonts w:ascii="Garamond" w:hAnsi="Garamond"/>
          <w:spacing w:val="-3"/>
          <w:lang w:val="pt-BR"/>
        </w:rPr>
      </w:pPr>
    </w:p>
    <w:p w14:paraId="6E5D1B1C"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“Art. 150. Sem prejuízo de outras garantias asseguradas ao contribuinte, é vedado à União, aos Estados, ao Distrito Federal e aos Municípios:</w:t>
      </w:r>
    </w:p>
    <w:p w14:paraId="04E5F8E9"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I - </w:t>
      </w:r>
      <w:proofErr w:type="gramStart"/>
      <w:r w:rsidRPr="00200C22">
        <w:rPr>
          <w:rFonts w:ascii="Garamond" w:hAnsi="Garamond"/>
          <w:iCs/>
          <w:spacing w:val="-3"/>
          <w:sz w:val="20"/>
          <w:szCs w:val="20"/>
          <w:lang w:val="pt-BR"/>
        </w:rPr>
        <w:t>exigir ou aumentar</w:t>
      </w:r>
      <w:proofErr w:type="gramEnd"/>
      <w:r w:rsidRPr="00200C22">
        <w:rPr>
          <w:rFonts w:ascii="Garamond" w:hAnsi="Garamond"/>
          <w:iCs/>
          <w:spacing w:val="-3"/>
          <w:sz w:val="20"/>
          <w:szCs w:val="20"/>
          <w:lang w:val="pt-BR"/>
        </w:rPr>
        <w:t xml:space="preserve"> tributo sem lei que o estabeleça”.</w:t>
      </w:r>
    </w:p>
    <w:p w14:paraId="058AC050" w14:textId="77777777" w:rsidR="00EF4BB9" w:rsidRPr="00200C22" w:rsidRDefault="00EF4BB9" w:rsidP="00EF4BB9">
      <w:pPr>
        <w:spacing w:line="360" w:lineRule="auto"/>
        <w:ind w:firstLine="2835"/>
        <w:jc w:val="both"/>
        <w:rPr>
          <w:rFonts w:ascii="Garamond" w:hAnsi="Garamond"/>
          <w:spacing w:val="-3"/>
          <w:lang w:val="pt-BR"/>
        </w:rPr>
      </w:pPr>
    </w:p>
    <w:p w14:paraId="37008359" w14:textId="77777777" w:rsidR="00EF4BB9" w:rsidRPr="00200C22" w:rsidRDefault="00EF4BB9" w:rsidP="00EF4BB9">
      <w:pPr>
        <w:spacing w:line="360" w:lineRule="auto"/>
        <w:ind w:firstLine="2835"/>
        <w:jc w:val="both"/>
        <w:rPr>
          <w:rFonts w:ascii="Garamond" w:hAnsi="Garamond"/>
          <w:spacing w:val="-3"/>
          <w:lang w:val="pt-BR"/>
        </w:rPr>
      </w:pPr>
      <w:r w:rsidRPr="00200C22">
        <w:rPr>
          <w:rFonts w:ascii="Garamond" w:hAnsi="Garamond"/>
          <w:spacing w:val="-3"/>
          <w:lang w:val="pt-BR"/>
        </w:rPr>
        <w:lastRenderedPageBreak/>
        <w:t xml:space="preserve">Ora, é óbvio que a inclusão de elementos estranhos na base de cálculo do ICMS/ENERGIA viola o princípio constitucional da reserva legal, pois o tributo deve incidir somente sobre a energia </w:t>
      </w:r>
      <w:r w:rsidRPr="00200C22">
        <w:rPr>
          <w:rFonts w:ascii="Garamond" w:hAnsi="Garamond"/>
          <w:b/>
          <w:spacing w:val="-3"/>
          <w:lang w:val="pt-BR"/>
        </w:rPr>
        <w:t>(mercadoria)</w:t>
      </w:r>
      <w:r w:rsidRPr="00200C22">
        <w:rPr>
          <w:rFonts w:ascii="Garamond" w:hAnsi="Garamond"/>
          <w:spacing w:val="-3"/>
          <w:lang w:val="pt-BR"/>
        </w:rPr>
        <w:t>, e não sobre as tarifas que custeiam o sistema de transmissão.</w:t>
      </w:r>
    </w:p>
    <w:p w14:paraId="29BBAF58" w14:textId="77777777" w:rsidR="00EF4BB9" w:rsidRPr="00200C22" w:rsidRDefault="00EF4BB9" w:rsidP="00EF4BB9">
      <w:pPr>
        <w:spacing w:line="360" w:lineRule="auto"/>
        <w:ind w:firstLine="2835"/>
        <w:jc w:val="both"/>
        <w:rPr>
          <w:rFonts w:ascii="Garamond" w:hAnsi="Garamond"/>
          <w:spacing w:val="-3"/>
          <w:lang w:val="pt-BR"/>
        </w:rPr>
      </w:pPr>
    </w:p>
    <w:p w14:paraId="20429DC9" w14:textId="77777777" w:rsidR="00EF4BB9" w:rsidRPr="00200C22" w:rsidRDefault="00EF4BB9" w:rsidP="00EF4BB9">
      <w:pPr>
        <w:spacing w:line="360" w:lineRule="auto"/>
        <w:ind w:firstLine="2835"/>
        <w:jc w:val="both"/>
        <w:rPr>
          <w:rFonts w:ascii="Garamond" w:hAnsi="Garamond"/>
          <w:spacing w:val="-3"/>
          <w:lang w:val="pt-BR"/>
        </w:rPr>
      </w:pPr>
      <w:r w:rsidRPr="00200C22">
        <w:rPr>
          <w:rFonts w:ascii="Garamond" w:hAnsi="Garamond"/>
          <w:spacing w:val="-3"/>
          <w:lang w:val="pt-BR"/>
        </w:rPr>
        <w:t>Essa questão, aliás, tem sido frequentemente analisada pelo Tribunal de Justiça do Estado de Goiás, sendo remansosa a jurisprudência da Corte Estadual, no sentido de excluir a TUST e TUSD da base de cálculo do ICMS incidente sobre a energia elétrica:</w:t>
      </w:r>
    </w:p>
    <w:p w14:paraId="36ABE131" w14:textId="77777777" w:rsidR="00EF4BB9" w:rsidRPr="00200C22" w:rsidRDefault="00EF4BB9" w:rsidP="00EF4BB9">
      <w:pPr>
        <w:spacing w:line="360" w:lineRule="auto"/>
        <w:jc w:val="both"/>
        <w:rPr>
          <w:rFonts w:ascii="Garamond" w:hAnsi="Garamond"/>
          <w:spacing w:val="-3"/>
          <w:lang w:val="pt-BR"/>
        </w:rPr>
      </w:pPr>
    </w:p>
    <w:p w14:paraId="7AEADEFA"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w:t>
      </w:r>
      <w:proofErr w:type="gramStart"/>
      <w:r w:rsidRPr="00200C22">
        <w:rPr>
          <w:rFonts w:ascii="Garamond" w:hAnsi="Garamond"/>
          <w:iCs/>
          <w:spacing w:val="-3"/>
          <w:sz w:val="20"/>
          <w:szCs w:val="20"/>
          <w:lang w:val="pt-BR"/>
        </w:rPr>
        <w:t>de  distribuição</w:t>
      </w:r>
      <w:proofErr w:type="gramEnd"/>
      <w:r w:rsidRPr="00200C22">
        <w:rPr>
          <w:rFonts w:ascii="Garamond" w:hAnsi="Garamond"/>
          <w:iCs/>
          <w:spacing w:val="-3"/>
          <w:sz w:val="20"/>
          <w:szCs w:val="20"/>
          <w:lang w:val="pt-BR"/>
        </w:rPr>
        <w:t xml:space="preserve"> e transmissão. 2. Segurança concedida.</w:t>
      </w:r>
    </w:p>
    <w:p w14:paraId="1F791648"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b/>
          <w:iCs/>
          <w:spacing w:val="-3"/>
          <w:sz w:val="20"/>
          <w:szCs w:val="20"/>
          <w:lang w:val="pt-BR"/>
        </w:rPr>
        <w:t xml:space="preserve">(TJGO, MANDADO DE SEGURANCA 145584-53.2015.8.09.0000, Rel. DR(A). DELINTRO BELO DE ALMEIDA FILHO, 5A CAMARA CIVEL, julgado em 29/10/2015, </w:t>
      </w:r>
      <w:proofErr w:type="spellStart"/>
      <w:r w:rsidRPr="00200C22">
        <w:rPr>
          <w:rFonts w:ascii="Garamond" w:hAnsi="Garamond"/>
          <w:b/>
          <w:iCs/>
          <w:spacing w:val="-3"/>
          <w:sz w:val="20"/>
          <w:szCs w:val="20"/>
          <w:lang w:val="pt-BR"/>
        </w:rPr>
        <w:t>DJe</w:t>
      </w:r>
      <w:proofErr w:type="spellEnd"/>
      <w:r w:rsidRPr="00200C22">
        <w:rPr>
          <w:rFonts w:ascii="Garamond" w:hAnsi="Garamond"/>
          <w:b/>
          <w:iCs/>
          <w:spacing w:val="-3"/>
          <w:sz w:val="20"/>
          <w:szCs w:val="20"/>
          <w:lang w:val="pt-BR"/>
        </w:rPr>
        <w:t xml:space="preserve"> 1909 de 13/11/2015)</w:t>
      </w:r>
      <w:r w:rsidRPr="00200C22">
        <w:rPr>
          <w:rFonts w:ascii="Garamond" w:hAnsi="Garamond"/>
          <w:iCs/>
          <w:spacing w:val="-3"/>
          <w:sz w:val="20"/>
          <w:szCs w:val="20"/>
          <w:lang w:val="pt-BR"/>
        </w:rPr>
        <w:t>.</w:t>
      </w:r>
    </w:p>
    <w:p w14:paraId="03588C92" w14:textId="77777777" w:rsidR="00EF4BB9" w:rsidRPr="00200C22" w:rsidRDefault="00EF4BB9" w:rsidP="00200C22">
      <w:pPr>
        <w:ind w:left="4248"/>
        <w:jc w:val="both"/>
        <w:rPr>
          <w:rFonts w:ascii="Garamond" w:hAnsi="Garamond"/>
          <w:iCs/>
          <w:spacing w:val="-3"/>
          <w:sz w:val="20"/>
          <w:szCs w:val="20"/>
          <w:lang w:val="pt-BR"/>
        </w:rPr>
      </w:pPr>
    </w:p>
    <w:p w14:paraId="77156A4B"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w:t>
      </w:r>
    </w:p>
    <w:p w14:paraId="0B9BB45D" w14:textId="77777777" w:rsidR="00EF4BB9" w:rsidRPr="00200C22" w:rsidRDefault="00EF4BB9" w:rsidP="00200C22">
      <w:pPr>
        <w:ind w:left="4248"/>
        <w:jc w:val="both"/>
        <w:rPr>
          <w:rFonts w:ascii="Garamond" w:hAnsi="Garamond"/>
          <w:iCs/>
          <w:spacing w:val="-3"/>
          <w:sz w:val="20"/>
          <w:szCs w:val="20"/>
          <w:lang w:val="pt-BR"/>
        </w:rPr>
      </w:pPr>
    </w:p>
    <w:p w14:paraId="6F6303A9"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w:t>
      </w:r>
      <w:proofErr w:type="gramStart"/>
      <w:r w:rsidRPr="00200C22">
        <w:rPr>
          <w:rFonts w:ascii="Garamond" w:hAnsi="Garamond"/>
          <w:iCs/>
          <w:spacing w:val="-3"/>
          <w:sz w:val="20"/>
          <w:szCs w:val="20"/>
          <w:lang w:val="pt-BR"/>
        </w:rPr>
        <w:t>de  distribuição</w:t>
      </w:r>
      <w:proofErr w:type="gramEnd"/>
      <w:r w:rsidRPr="00200C22">
        <w:rPr>
          <w:rFonts w:ascii="Garamond" w:hAnsi="Garamond"/>
          <w:iCs/>
          <w:spacing w:val="-3"/>
          <w:sz w:val="20"/>
          <w:szCs w:val="20"/>
          <w:lang w:val="pt-BR"/>
        </w:rPr>
        <w:t xml:space="preserve"> e transmissão. 2. Segurança concedida.</w:t>
      </w:r>
    </w:p>
    <w:p w14:paraId="44906D38"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b/>
          <w:iCs/>
          <w:spacing w:val="-3"/>
          <w:sz w:val="20"/>
          <w:szCs w:val="20"/>
          <w:lang w:val="pt-BR"/>
        </w:rPr>
        <w:t xml:space="preserve">(TJGO, MANDADO DE SEGURANCA 145584-53.2015.8.09.0000, Rel. DR(A). DELINTRO BELO DE ALMEIDA FILHO, 5A CAMARA CIVEL, julgado em 29/10/2015, </w:t>
      </w:r>
      <w:proofErr w:type="spellStart"/>
      <w:r w:rsidRPr="00200C22">
        <w:rPr>
          <w:rFonts w:ascii="Garamond" w:hAnsi="Garamond"/>
          <w:b/>
          <w:iCs/>
          <w:spacing w:val="-3"/>
          <w:sz w:val="20"/>
          <w:szCs w:val="20"/>
          <w:lang w:val="pt-BR"/>
        </w:rPr>
        <w:t>DJe</w:t>
      </w:r>
      <w:proofErr w:type="spellEnd"/>
      <w:r w:rsidRPr="00200C22">
        <w:rPr>
          <w:rFonts w:ascii="Garamond" w:hAnsi="Garamond"/>
          <w:b/>
          <w:iCs/>
          <w:spacing w:val="-3"/>
          <w:sz w:val="20"/>
          <w:szCs w:val="20"/>
          <w:lang w:val="pt-BR"/>
        </w:rPr>
        <w:t xml:space="preserve"> 1909 de 13/11/2015)</w:t>
      </w:r>
      <w:r w:rsidRPr="00200C22">
        <w:rPr>
          <w:rFonts w:ascii="Garamond" w:hAnsi="Garamond"/>
          <w:iCs/>
          <w:spacing w:val="-3"/>
          <w:sz w:val="20"/>
          <w:szCs w:val="20"/>
          <w:lang w:val="pt-BR"/>
        </w:rPr>
        <w:t>.</w:t>
      </w:r>
    </w:p>
    <w:p w14:paraId="73BADCE0" w14:textId="77777777" w:rsidR="00EF4BB9" w:rsidRPr="00200C22" w:rsidRDefault="00EF4BB9" w:rsidP="00200C22">
      <w:pPr>
        <w:ind w:left="4248"/>
        <w:jc w:val="both"/>
        <w:rPr>
          <w:rFonts w:ascii="Garamond" w:hAnsi="Garamond"/>
          <w:iCs/>
          <w:spacing w:val="-3"/>
          <w:sz w:val="20"/>
          <w:szCs w:val="20"/>
          <w:lang w:val="pt-BR"/>
        </w:rPr>
      </w:pPr>
    </w:p>
    <w:p w14:paraId="62B86DEA"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w:t>
      </w:r>
    </w:p>
    <w:p w14:paraId="585DA39E" w14:textId="77777777" w:rsidR="00EF4BB9" w:rsidRPr="00200C22" w:rsidRDefault="00EF4BB9" w:rsidP="00200C22">
      <w:pPr>
        <w:ind w:left="4248"/>
        <w:jc w:val="both"/>
        <w:rPr>
          <w:rFonts w:ascii="Garamond" w:hAnsi="Garamond"/>
          <w:iCs/>
          <w:spacing w:val="-3"/>
          <w:sz w:val="20"/>
          <w:szCs w:val="20"/>
          <w:lang w:val="pt-BR"/>
        </w:rPr>
      </w:pPr>
    </w:p>
    <w:p w14:paraId="1B5AB6AC"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w:t>
      </w:r>
      <w:proofErr w:type="gramStart"/>
      <w:r w:rsidRPr="00200C22">
        <w:rPr>
          <w:rFonts w:ascii="Garamond" w:hAnsi="Garamond"/>
          <w:iCs/>
          <w:spacing w:val="-3"/>
          <w:sz w:val="20"/>
          <w:szCs w:val="20"/>
          <w:lang w:val="pt-BR"/>
        </w:rPr>
        <w:t>de  distribuição</w:t>
      </w:r>
      <w:proofErr w:type="gramEnd"/>
      <w:r w:rsidRPr="00200C22">
        <w:rPr>
          <w:rFonts w:ascii="Garamond" w:hAnsi="Garamond"/>
          <w:iCs/>
          <w:spacing w:val="-3"/>
          <w:sz w:val="20"/>
          <w:szCs w:val="20"/>
          <w:lang w:val="pt-BR"/>
        </w:rPr>
        <w:t xml:space="preserve"> e transmissão. 2. Segurança concedida.</w:t>
      </w:r>
    </w:p>
    <w:p w14:paraId="021EA8E6"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b/>
          <w:iCs/>
          <w:spacing w:val="-3"/>
          <w:sz w:val="20"/>
          <w:szCs w:val="20"/>
          <w:lang w:val="pt-BR"/>
        </w:rPr>
        <w:lastRenderedPageBreak/>
        <w:t xml:space="preserve">(TJGO, MANDADO DE SEGURANCA 145584-53.2015.8.09.0000, Rel. DR(A). DELINTRO BELO DE ALMEIDA FILHO, 5A CAMARA CIVEL, julgado em 29/10/2015, </w:t>
      </w:r>
      <w:proofErr w:type="spellStart"/>
      <w:r w:rsidRPr="00200C22">
        <w:rPr>
          <w:rFonts w:ascii="Garamond" w:hAnsi="Garamond"/>
          <w:b/>
          <w:iCs/>
          <w:spacing w:val="-3"/>
          <w:sz w:val="20"/>
          <w:szCs w:val="20"/>
          <w:lang w:val="pt-BR"/>
        </w:rPr>
        <w:t>DJe</w:t>
      </w:r>
      <w:proofErr w:type="spellEnd"/>
      <w:r w:rsidRPr="00200C22">
        <w:rPr>
          <w:rFonts w:ascii="Garamond" w:hAnsi="Garamond"/>
          <w:b/>
          <w:iCs/>
          <w:spacing w:val="-3"/>
          <w:sz w:val="20"/>
          <w:szCs w:val="20"/>
          <w:lang w:val="pt-BR"/>
        </w:rPr>
        <w:t xml:space="preserve"> 1909 de 13/11/2015)</w:t>
      </w:r>
      <w:r w:rsidRPr="00200C22">
        <w:rPr>
          <w:rFonts w:ascii="Garamond" w:hAnsi="Garamond"/>
          <w:iCs/>
          <w:spacing w:val="-3"/>
          <w:sz w:val="20"/>
          <w:szCs w:val="20"/>
          <w:lang w:val="pt-BR"/>
        </w:rPr>
        <w:t>.</w:t>
      </w:r>
    </w:p>
    <w:p w14:paraId="6D422CCF" w14:textId="77777777" w:rsidR="00EF4BB9" w:rsidRPr="00200C22" w:rsidRDefault="00EF4BB9" w:rsidP="00200C22">
      <w:pPr>
        <w:ind w:left="4248"/>
        <w:jc w:val="both"/>
        <w:rPr>
          <w:rFonts w:ascii="Garamond" w:hAnsi="Garamond"/>
          <w:iCs/>
          <w:spacing w:val="-3"/>
          <w:sz w:val="20"/>
          <w:szCs w:val="20"/>
          <w:lang w:val="pt-BR"/>
        </w:rPr>
      </w:pPr>
    </w:p>
    <w:p w14:paraId="1EBDF651"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w:t>
      </w:r>
    </w:p>
    <w:p w14:paraId="789F483B" w14:textId="77777777" w:rsidR="00EF4BB9" w:rsidRPr="00200C22" w:rsidRDefault="00EF4BB9" w:rsidP="00200C22">
      <w:pPr>
        <w:ind w:left="4248"/>
        <w:jc w:val="both"/>
        <w:rPr>
          <w:rFonts w:ascii="Garamond" w:hAnsi="Garamond"/>
          <w:iCs/>
          <w:spacing w:val="-3"/>
          <w:sz w:val="20"/>
          <w:szCs w:val="20"/>
          <w:lang w:val="pt-BR"/>
        </w:rPr>
      </w:pPr>
    </w:p>
    <w:p w14:paraId="11A2F23A"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MANDADO DE SEGURANÇA. INCIDÊNCIA DE ICMS SOBRE TARIFA DE UTILIZAÇÃO DO SISTEMA DE DISTRIBUIÇÃO - TUSD. ILEGALIDADE. SÚMULAS NOS 166 E 391 DO STJ. 1.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w:t>
      </w:r>
      <w:proofErr w:type="gramStart"/>
      <w:r w:rsidRPr="00200C22">
        <w:rPr>
          <w:rFonts w:ascii="Garamond" w:hAnsi="Garamond"/>
          <w:iCs/>
          <w:spacing w:val="-3"/>
          <w:sz w:val="20"/>
          <w:szCs w:val="20"/>
          <w:lang w:val="pt-BR"/>
        </w:rPr>
        <w:t>de  distribuição</w:t>
      </w:r>
      <w:proofErr w:type="gramEnd"/>
      <w:r w:rsidRPr="00200C22">
        <w:rPr>
          <w:rFonts w:ascii="Garamond" w:hAnsi="Garamond"/>
          <w:iCs/>
          <w:spacing w:val="-3"/>
          <w:sz w:val="20"/>
          <w:szCs w:val="20"/>
          <w:lang w:val="pt-BR"/>
        </w:rPr>
        <w:t xml:space="preserve"> e transmissão. 2. Segurança concedida.</w:t>
      </w:r>
    </w:p>
    <w:p w14:paraId="3333590A"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b/>
          <w:iCs/>
          <w:spacing w:val="-3"/>
          <w:sz w:val="20"/>
          <w:szCs w:val="20"/>
          <w:lang w:val="pt-BR"/>
        </w:rPr>
        <w:t xml:space="preserve">(TJGO, MANDADO DE SEGURANCA 145584-53.2015.8.09.0000, Rel. DR(A). DELINTRO BELO DE ALMEIDA FILHO, 5A CAMARA CIVEL, julgado em 29/10/2015, </w:t>
      </w:r>
      <w:proofErr w:type="spellStart"/>
      <w:r w:rsidRPr="00200C22">
        <w:rPr>
          <w:rFonts w:ascii="Garamond" w:hAnsi="Garamond"/>
          <w:b/>
          <w:iCs/>
          <w:spacing w:val="-3"/>
          <w:sz w:val="20"/>
          <w:szCs w:val="20"/>
          <w:lang w:val="pt-BR"/>
        </w:rPr>
        <w:t>DJe</w:t>
      </w:r>
      <w:proofErr w:type="spellEnd"/>
      <w:r w:rsidRPr="00200C22">
        <w:rPr>
          <w:rFonts w:ascii="Garamond" w:hAnsi="Garamond"/>
          <w:b/>
          <w:iCs/>
          <w:spacing w:val="-3"/>
          <w:sz w:val="20"/>
          <w:szCs w:val="20"/>
          <w:lang w:val="pt-BR"/>
        </w:rPr>
        <w:t xml:space="preserve"> 1909 de 13/11/2015)</w:t>
      </w:r>
      <w:r w:rsidRPr="00200C22">
        <w:rPr>
          <w:rFonts w:ascii="Garamond" w:hAnsi="Garamond"/>
          <w:iCs/>
          <w:spacing w:val="-3"/>
          <w:sz w:val="20"/>
          <w:szCs w:val="20"/>
          <w:lang w:val="pt-BR"/>
        </w:rPr>
        <w:t>”.</w:t>
      </w:r>
    </w:p>
    <w:p w14:paraId="53EB906D" w14:textId="77777777" w:rsidR="00EF4BB9" w:rsidRPr="00200C22" w:rsidRDefault="00EF4BB9" w:rsidP="00EF4BB9">
      <w:pPr>
        <w:spacing w:line="360" w:lineRule="auto"/>
        <w:jc w:val="both"/>
        <w:rPr>
          <w:rFonts w:ascii="Garamond" w:hAnsi="Garamond"/>
          <w:spacing w:val="-3"/>
          <w:lang w:val="pt-BR"/>
        </w:rPr>
      </w:pPr>
    </w:p>
    <w:p w14:paraId="0F107D7E" w14:textId="77777777" w:rsidR="00EF4BB9" w:rsidRPr="00200C22" w:rsidRDefault="00EF4BB9" w:rsidP="00EF4BB9">
      <w:pPr>
        <w:spacing w:line="360" w:lineRule="auto"/>
        <w:ind w:firstLine="2835"/>
        <w:jc w:val="both"/>
        <w:rPr>
          <w:rFonts w:ascii="Garamond" w:hAnsi="Garamond"/>
          <w:spacing w:val="-3"/>
          <w:lang w:val="pt-BR"/>
        </w:rPr>
      </w:pPr>
      <w:r w:rsidRPr="00200C22">
        <w:rPr>
          <w:rFonts w:ascii="Garamond" w:hAnsi="Garamond"/>
          <w:spacing w:val="-3"/>
          <w:lang w:val="pt-BR"/>
        </w:rPr>
        <w:t xml:space="preserve">Oportunamente, convém transcrever a brilhante análise feita pela ilustre Procuradora de Justiça do Estado de Goiás, Ivana Farina </w:t>
      </w:r>
      <w:proofErr w:type="spellStart"/>
      <w:r w:rsidRPr="00200C22">
        <w:rPr>
          <w:rFonts w:ascii="Garamond" w:hAnsi="Garamond"/>
          <w:spacing w:val="-3"/>
          <w:lang w:val="pt-BR"/>
        </w:rPr>
        <w:t>Navarrete</w:t>
      </w:r>
      <w:proofErr w:type="spellEnd"/>
      <w:r w:rsidRPr="00200C22">
        <w:rPr>
          <w:rFonts w:ascii="Garamond" w:hAnsi="Garamond"/>
          <w:spacing w:val="-3"/>
          <w:lang w:val="pt-BR"/>
        </w:rPr>
        <w:t xml:space="preserve"> Pena, nos autos do Processo n.º 122745-34.2015, em trâmite pela Colenda 3º Câmara Cível do TJ/GO: </w:t>
      </w:r>
    </w:p>
    <w:p w14:paraId="06AB00BA" w14:textId="77777777" w:rsidR="00EF4BB9" w:rsidRPr="00200C22" w:rsidRDefault="00EF4BB9" w:rsidP="00EF4BB9">
      <w:pPr>
        <w:spacing w:line="360" w:lineRule="auto"/>
        <w:jc w:val="both"/>
        <w:rPr>
          <w:rFonts w:ascii="Garamond" w:hAnsi="Garamond"/>
          <w:spacing w:val="-3"/>
          <w:lang w:val="pt-BR"/>
        </w:rPr>
      </w:pPr>
    </w:p>
    <w:p w14:paraId="69478AA7"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 De fato, durante a transmissão e distribuição da energia elétrica, não há transferência de propriedade que caracterize a circulação jurídica necessária à ocorrência do fato gerador do ICMS (...) Verifica-se, ainda que não deve ser acolhida a alegação do impetrado de que o art. 30-A, § 1º, do anexo VIII, do Decreto Estadual n.º 4.852/97, define que o ICMS deve incidir também sobre as Tarifas de Utilização da Rede de Transmissão – TUST e as Tarifas de Uso dos Sistemas de Distribuição de Energia Elétrica – TUSD. E que o referido dispositivo deve ser interpretado à luz da jurisprudência dominante e dos demais dispositivos que regem a incidência do mencionado tributo. Desse modo, considerando o disposto na Súmula n.º 166 do STJ e no art. 155, inciso II da Constituição Federal, o art. 30-A, § 1º, do anexo VIII, do Decreto Estadual n.º 4.852/97, deve ser interpretado no sentido de que o ICMS deve incidir apenas nos casos em que houver a circulação jurídica do produto”. (fls. 111/113). </w:t>
      </w:r>
    </w:p>
    <w:p w14:paraId="789F1383" w14:textId="77777777" w:rsidR="00EF4BB9" w:rsidRPr="00200C22" w:rsidRDefault="00EF4BB9" w:rsidP="00EF4BB9">
      <w:pPr>
        <w:ind w:firstLine="2835"/>
        <w:jc w:val="both"/>
        <w:rPr>
          <w:rFonts w:ascii="Garamond" w:hAnsi="Garamond"/>
          <w:spacing w:val="-3"/>
          <w:lang w:val="pt-BR"/>
        </w:rPr>
      </w:pPr>
    </w:p>
    <w:p w14:paraId="09BC898C" w14:textId="77777777" w:rsidR="00EF4BB9" w:rsidRPr="00200C22" w:rsidRDefault="00EF4BB9" w:rsidP="00EF4BB9">
      <w:pPr>
        <w:spacing w:line="360" w:lineRule="auto"/>
        <w:jc w:val="both"/>
        <w:rPr>
          <w:rFonts w:ascii="Garamond" w:hAnsi="Garamond"/>
          <w:spacing w:val="-3"/>
          <w:lang w:val="pt-BR"/>
        </w:rPr>
      </w:pPr>
    </w:p>
    <w:p w14:paraId="20F56434" w14:textId="77777777" w:rsidR="00EF4BB9" w:rsidRPr="00200C22" w:rsidRDefault="00EF4BB9" w:rsidP="00EF4BB9">
      <w:pPr>
        <w:spacing w:line="360" w:lineRule="auto"/>
        <w:ind w:firstLine="2835"/>
        <w:jc w:val="both"/>
        <w:rPr>
          <w:rFonts w:ascii="Garamond" w:hAnsi="Garamond"/>
          <w:spacing w:val="-3"/>
          <w:lang w:val="pt-BR"/>
        </w:rPr>
      </w:pPr>
      <w:r w:rsidRPr="00200C22">
        <w:rPr>
          <w:rFonts w:ascii="Garamond" w:hAnsi="Garamond"/>
          <w:spacing w:val="-3"/>
          <w:lang w:val="pt-BR"/>
        </w:rPr>
        <w:t>Destarte, a incidência do ICMS</w:t>
      </w:r>
      <w:r w:rsidRPr="00200C22">
        <w:rPr>
          <w:rFonts w:ascii="Garamond" w:hAnsi="Garamond"/>
          <w:spacing w:val="-3"/>
          <w:lang w:val="pt-BR"/>
        </w:rPr>
        <w:tab/>
        <w:t xml:space="preserve"> na fatura da conta de energia elétrica deve se limitar ao </w:t>
      </w:r>
      <w:r w:rsidRPr="00200C22">
        <w:rPr>
          <w:rFonts w:ascii="Garamond" w:hAnsi="Garamond"/>
          <w:b/>
          <w:spacing w:val="-3"/>
          <w:lang w:val="pt-BR"/>
        </w:rPr>
        <w:t>CONSUMO EFETIVO</w:t>
      </w:r>
      <w:r w:rsidRPr="00200C22">
        <w:rPr>
          <w:rFonts w:ascii="Garamond" w:hAnsi="Garamond"/>
          <w:spacing w:val="-3"/>
          <w:lang w:val="pt-BR"/>
        </w:rPr>
        <w:t>, conforme disposto na Súmula n.º 391, do Superior Tribunal de Justiça:</w:t>
      </w:r>
    </w:p>
    <w:p w14:paraId="0111D60B" w14:textId="77777777" w:rsidR="00EF4BB9" w:rsidRPr="00200C22" w:rsidRDefault="00EF4BB9" w:rsidP="00EF4BB9">
      <w:pPr>
        <w:spacing w:line="360" w:lineRule="auto"/>
        <w:jc w:val="both"/>
        <w:rPr>
          <w:rFonts w:ascii="Garamond" w:hAnsi="Garamond"/>
          <w:spacing w:val="-3"/>
          <w:lang w:val="pt-BR"/>
        </w:rPr>
      </w:pPr>
    </w:p>
    <w:p w14:paraId="244D0B7C"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“O ICMS incide sobre o valor da tarifa de energia elétrica correspondente à demanda de potência efetivamente utilizada”.</w:t>
      </w:r>
    </w:p>
    <w:p w14:paraId="3ABE6353" w14:textId="77777777" w:rsidR="00EF4BB9" w:rsidRPr="00200C22" w:rsidRDefault="00EF4BB9" w:rsidP="00EF4BB9">
      <w:pPr>
        <w:spacing w:line="360" w:lineRule="auto"/>
        <w:jc w:val="both"/>
        <w:rPr>
          <w:rFonts w:ascii="Garamond" w:hAnsi="Garamond"/>
          <w:spacing w:val="-3"/>
          <w:lang w:val="pt-BR"/>
        </w:rPr>
      </w:pPr>
    </w:p>
    <w:p w14:paraId="34F52CE0" w14:textId="77777777" w:rsidR="00EF4BB9" w:rsidRPr="00200C22" w:rsidRDefault="00EF4BB9" w:rsidP="00EF4BB9">
      <w:pPr>
        <w:spacing w:line="360" w:lineRule="auto"/>
        <w:jc w:val="both"/>
        <w:rPr>
          <w:rFonts w:ascii="Garamond" w:hAnsi="Garamond"/>
          <w:spacing w:val="-3"/>
          <w:lang w:val="pt-BR"/>
        </w:rPr>
      </w:pPr>
    </w:p>
    <w:p w14:paraId="3CC754B5" w14:textId="77777777" w:rsidR="00EF4BB9" w:rsidRPr="00200C22" w:rsidRDefault="00EF4BB9" w:rsidP="00EF4BB9">
      <w:pPr>
        <w:spacing w:line="360" w:lineRule="auto"/>
        <w:ind w:firstLine="2835"/>
        <w:jc w:val="both"/>
        <w:rPr>
          <w:rFonts w:ascii="Garamond" w:hAnsi="Garamond"/>
          <w:spacing w:val="-3"/>
          <w:lang w:val="pt-BR"/>
        </w:rPr>
      </w:pPr>
      <w:r w:rsidRPr="00200C22">
        <w:rPr>
          <w:rFonts w:ascii="Garamond" w:hAnsi="Garamond"/>
          <w:spacing w:val="-3"/>
          <w:lang w:val="pt-BR"/>
        </w:rPr>
        <w:t>A propósito, sobre o assunto, a jurisprudência pacífica do Superior Tribunal de Justiça:</w:t>
      </w:r>
    </w:p>
    <w:p w14:paraId="46097A99" w14:textId="77777777" w:rsidR="00EF4BB9" w:rsidRPr="00200C22" w:rsidRDefault="00EF4BB9" w:rsidP="00EF4BB9">
      <w:pPr>
        <w:spacing w:line="360" w:lineRule="auto"/>
        <w:jc w:val="both"/>
        <w:rPr>
          <w:rFonts w:ascii="Garamond" w:hAnsi="Garamond"/>
          <w:spacing w:val="-3"/>
          <w:lang w:val="pt-BR"/>
        </w:rPr>
      </w:pPr>
    </w:p>
    <w:p w14:paraId="74B10710"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“PROCESSO CIVIL - TRIBUTÁRIO - AGRAVO REGIMENTAL EM RECURSO ESPECIAL - COBRANÇA DE ICMS COM INCLUSÃO EM SUA BASE DE CÁLCULO DA TARIFA DE USO DO SISTEMA DE DISTRIBUIÇÃO DE ENERGIA ELÉTRICA - TUSD - INCLUSÃO NA BASE DE CÁLCULO DO ICMS - IMPOSSIBILIDADE - PRECEDENTES.</w:t>
      </w:r>
    </w:p>
    <w:p w14:paraId="4668D597"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1. É firme a Jurisprudência desta Corte de Justiça no sentido de que não incide ICMS sobre as tarifas de uso do sistema de distribuição de energia elétrica, já que o fato gerador do imposto é a saída da mercadoria, ou seja, no momento em que a energia elétrica é efetivamente consumida pelo contribuinte, circunstância não consolidada na fase de  distribuição e transmissão. Incidência da Súmula 166 do STJ. Precedentes jurisprudenciais.</w:t>
      </w:r>
    </w:p>
    <w:p w14:paraId="3ED6E789"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2. Agravo regimental não provido. </w:t>
      </w:r>
      <w:r w:rsidRPr="00200C22">
        <w:rPr>
          <w:rFonts w:ascii="Garamond" w:hAnsi="Garamond"/>
          <w:b/>
          <w:iCs/>
          <w:spacing w:val="-3"/>
          <w:sz w:val="20"/>
          <w:szCs w:val="20"/>
        </w:rPr>
        <w:t>(</w:t>
      </w:r>
      <w:proofErr w:type="spellStart"/>
      <w:r w:rsidRPr="00200C22">
        <w:rPr>
          <w:rFonts w:ascii="Garamond" w:hAnsi="Garamond"/>
          <w:b/>
          <w:iCs/>
          <w:spacing w:val="-3"/>
          <w:sz w:val="20"/>
          <w:szCs w:val="20"/>
        </w:rPr>
        <w:t>AgRg</w:t>
      </w:r>
      <w:proofErr w:type="spellEnd"/>
      <w:r w:rsidRPr="00200C22">
        <w:rPr>
          <w:rFonts w:ascii="Garamond" w:hAnsi="Garamond"/>
          <w:b/>
          <w:iCs/>
          <w:spacing w:val="-3"/>
          <w:sz w:val="20"/>
          <w:szCs w:val="20"/>
        </w:rPr>
        <w:t xml:space="preserve"> no </w:t>
      </w:r>
      <w:proofErr w:type="spellStart"/>
      <w:r w:rsidRPr="00200C22">
        <w:rPr>
          <w:rFonts w:ascii="Garamond" w:hAnsi="Garamond"/>
          <w:b/>
          <w:iCs/>
          <w:spacing w:val="-3"/>
          <w:sz w:val="20"/>
          <w:szCs w:val="20"/>
        </w:rPr>
        <w:t>REsp</w:t>
      </w:r>
      <w:proofErr w:type="spellEnd"/>
      <w:r w:rsidRPr="00200C22">
        <w:rPr>
          <w:rFonts w:ascii="Garamond" w:hAnsi="Garamond"/>
          <w:b/>
          <w:iCs/>
          <w:spacing w:val="-3"/>
          <w:sz w:val="20"/>
          <w:szCs w:val="20"/>
        </w:rPr>
        <w:t xml:space="preserve"> 1075223/MG, Rel. </w:t>
      </w:r>
      <w:r w:rsidRPr="00200C22">
        <w:rPr>
          <w:rFonts w:ascii="Garamond" w:hAnsi="Garamond"/>
          <w:b/>
          <w:iCs/>
          <w:spacing w:val="-3"/>
          <w:sz w:val="20"/>
          <w:szCs w:val="20"/>
          <w:lang w:val="pt-BR"/>
        </w:rPr>
        <w:t xml:space="preserve">Ministra ELIANA CALMON, SEGUNDA TURMA, julgado em 04/06/2013, </w:t>
      </w:r>
      <w:proofErr w:type="spellStart"/>
      <w:r w:rsidRPr="00200C22">
        <w:rPr>
          <w:rFonts w:ascii="Garamond" w:hAnsi="Garamond"/>
          <w:b/>
          <w:iCs/>
          <w:spacing w:val="-3"/>
          <w:sz w:val="20"/>
          <w:szCs w:val="20"/>
          <w:lang w:val="pt-BR"/>
        </w:rPr>
        <w:t>DJe</w:t>
      </w:r>
      <w:proofErr w:type="spellEnd"/>
      <w:r w:rsidRPr="00200C22">
        <w:rPr>
          <w:rFonts w:ascii="Garamond" w:hAnsi="Garamond"/>
          <w:b/>
          <w:iCs/>
          <w:spacing w:val="-3"/>
          <w:sz w:val="20"/>
          <w:szCs w:val="20"/>
          <w:lang w:val="pt-BR"/>
        </w:rPr>
        <w:t xml:space="preserve"> 11/06/2013)</w:t>
      </w:r>
      <w:r w:rsidRPr="00200C22">
        <w:rPr>
          <w:rFonts w:ascii="Garamond" w:hAnsi="Garamond"/>
          <w:iCs/>
          <w:spacing w:val="-3"/>
          <w:sz w:val="20"/>
          <w:szCs w:val="20"/>
          <w:lang w:val="pt-BR"/>
        </w:rPr>
        <w:t>”.</w:t>
      </w:r>
    </w:p>
    <w:p w14:paraId="557D38E7" w14:textId="77777777" w:rsidR="00EF4BB9" w:rsidRPr="00200C22" w:rsidRDefault="00EF4BB9" w:rsidP="00200C22">
      <w:pPr>
        <w:ind w:left="4248"/>
        <w:jc w:val="both"/>
        <w:rPr>
          <w:rFonts w:ascii="Garamond" w:hAnsi="Garamond"/>
          <w:iCs/>
          <w:spacing w:val="-3"/>
          <w:sz w:val="20"/>
          <w:szCs w:val="20"/>
          <w:lang w:val="pt-BR"/>
        </w:rPr>
      </w:pPr>
    </w:p>
    <w:p w14:paraId="3FFCD05B"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w:t>
      </w:r>
    </w:p>
    <w:p w14:paraId="60D2161D" w14:textId="77777777" w:rsidR="00EF4BB9" w:rsidRPr="00200C22" w:rsidRDefault="00EF4BB9" w:rsidP="00200C22">
      <w:pPr>
        <w:ind w:left="4248"/>
        <w:jc w:val="both"/>
        <w:rPr>
          <w:rFonts w:ascii="Garamond" w:hAnsi="Garamond"/>
          <w:iCs/>
          <w:spacing w:val="-3"/>
          <w:sz w:val="20"/>
          <w:szCs w:val="20"/>
          <w:lang w:val="pt-BR"/>
        </w:rPr>
      </w:pPr>
    </w:p>
    <w:p w14:paraId="76A73551"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TRIBUTÁRIO. AGRAVO REGIMENTAL NO RECURSO ESPECIAL. LEGITIMIDADE ATIVA DO CONTRIBUINTE DE FATO. UTILIZAÇÃO DE LINHA DE TRANSMISSÃO E DE DISTRIBUIÇÃO DE ENERGIA ELÉTRICA. ICMS SOBRE TARIFA DE USO DOS SISTEMA DE DISTRIBUIÇÃO (TUSD). IMPOSSIBILIDADE. AUSÊNCIA DE OPERAÇÃO MERCANTIL.</w:t>
      </w:r>
    </w:p>
    <w:p w14:paraId="07B55C04"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1. O ICMS sobre energia elétrica tem como fato gerador a circulação da mercadoria, e não do serviço de transporte de transmissão e distribuição de energia elétrica, incidindo, in </w:t>
      </w:r>
      <w:proofErr w:type="spellStart"/>
      <w:r w:rsidRPr="00200C22">
        <w:rPr>
          <w:rFonts w:ascii="Garamond" w:hAnsi="Garamond"/>
          <w:iCs/>
          <w:spacing w:val="-3"/>
          <w:sz w:val="20"/>
          <w:szCs w:val="20"/>
          <w:lang w:val="pt-BR"/>
        </w:rPr>
        <w:t>casu</w:t>
      </w:r>
      <w:proofErr w:type="spellEnd"/>
      <w:r w:rsidRPr="00200C22">
        <w:rPr>
          <w:rFonts w:ascii="Garamond" w:hAnsi="Garamond"/>
          <w:iCs/>
          <w:spacing w:val="-3"/>
          <w:sz w:val="20"/>
          <w:szCs w:val="20"/>
          <w:lang w:val="pt-BR"/>
        </w:rPr>
        <w:t xml:space="preserve">, a Súmula 166/STJ. Dentre os precedentes mais recentes: </w:t>
      </w:r>
      <w:proofErr w:type="spellStart"/>
      <w:r w:rsidRPr="00200C22">
        <w:rPr>
          <w:rFonts w:ascii="Garamond" w:hAnsi="Garamond"/>
          <w:iCs/>
          <w:spacing w:val="-3"/>
          <w:sz w:val="20"/>
          <w:szCs w:val="20"/>
          <w:lang w:val="pt-BR"/>
        </w:rPr>
        <w:t>AgRg</w:t>
      </w:r>
      <w:proofErr w:type="spellEnd"/>
      <w:r w:rsidRPr="00200C22">
        <w:rPr>
          <w:rFonts w:ascii="Garamond" w:hAnsi="Garamond"/>
          <w:iCs/>
          <w:spacing w:val="-3"/>
          <w:sz w:val="20"/>
          <w:szCs w:val="20"/>
          <w:lang w:val="pt-BR"/>
        </w:rPr>
        <w:t xml:space="preserve"> nos </w:t>
      </w:r>
      <w:proofErr w:type="spellStart"/>
      <w:r w:rsidRPr="00200C22">
        <w:rPr>
          <w:rFonts w:ascii="Garamond" w:hAnsi="Garamond"/>
          <w:iCs/>
          <w:spacing w:val="-3"/>
          <w:sz w:val="20"/>
          <w:szCs w:val="20"/>
          <w:lang w:val="pt-BR"/>
        </w:rPr>
        <w:t>EDcl</w:t>
      </w:r>
      <w:proofErr w:type="spellEnd"/>
      <w:r w:rsidRPr="00200C22">
        <w:rPr>
          <w:rFonts w:ascii="Garamond" w:hAnsi="Garamond"/>
          <w:iCs/>
          <w:spacing w:val="-3"/>
          <w:sz w:val="20"/>
          <w:szCs w:val="20"/>
          <w:lang w:val="pt-BR"/>
        </w:rPr>
        <w:t xml:space="preserve"> no </w:t>
      </w:r>
      <w:proofErr w:type="spellStart"/>
      <w:r w:rsidRPr="00200C22">
        <w:rPr>
          <w:rFonts w:ascii="Garamond" w:hAnsi="Garamond"/>
          <w:iCs/>
          <w:spacing w:val="-3"/>
          <w:sz w:val="20"/>
          <w:szCs w:val="20"/>
          <w:lang w:val="pt-BR"/>
        </w:rPr>
        <w:t>REsp</w:t>
      </w:r>
      <w:proofErr w:type="spellEnd"/>
      <w:r w:rsidRPr="00200C22">
        <w:rPr>
          <w:rFonts w:ascii="Garamond" w:hAnsi="Garamond"/>
          <w:iCs/>
          <w:spacing w:val="-3"/>
          <w:sz w:val="20"/>
          <w:szCs w:val="20"/>
          <w:lang w:val="pt-BR"/>
        </w:rPr>
        <w:t xml:space="preserve"> 1267162/MG, Rel. Ministro Herman Benjamin, Segunda Turma, </w:t>
      </w:r>
      <w:proofErr w:type="spellStart"/>
      <w:r w:rsidRPr="00200C22">
        <w:rPr>
          <w:rFonts w:ascii="Garamond" w:hAnsi="Garamond"/>
          <w:iCs/>
          <w:spacing w:val="-3"/>
          <w:sz w:val="20"/>
          <w:szCs w:val="20"/>
          <w:lang w:val="pt-BR"/>
        </w:rPr>
        <w:t>DJe</w:t>
      </w:r>
      <w:proofErr w:type="spellEnd"/>
      <w:r w:rsidRPr="00200C22">
        <w:rPr>
          <w:rFonts w:ascii="Garamond" w:hAnsi="Garamond"/>
          <w:iCs/>
          <w:spacing w:val="-3"/>
          <w:sz w:val="20"/>
          <w:szCs w:val="20"/>
          <w:lang w:val="pt-BR"/>
        </w:rPr>
        <w:t xml:space="preserve"> 24/08/2012.</w:t>
      </w:r>
    </w:p>
    <w:p w14:paraId="5397B508"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2. A Primeira Seção/STJ, ao apreciar o </w:t>
      </w:r>
      <w:proofErr w:type="spellStart"/>
      <w:r w:rsidRPr="00200C22">
        <w:rPr>
          <w:rFonts w:ascii="Garamond" w:hAnsi="Garamond"/>
          <w:iCs/>
          <w:spacing w:val="-3"/>
          <w:sz w:val="20"/>
          <w:szCs w:val="20"/>
          <w:lang w:val="pt-BR"/>
        </w:rPr>
        <w:t>REsp</w:t>
      </w:r>
      <w:proofErr w:type="spellEnd"/>
      <w:r w:rsidRPr="00200C22">
        <w:rPr>
          <w:rFonts w:ascii="Garamond" w:hAnsi="Garamond"/>
          <w:iCs/>
          <w:spacing w:val="-3"/>
          <w:sz w:val="20"/>
          <w:szCs w:val="20"/>
          <w:lang w:val="pt-BR"/>
        </w:rPr>
        <w:t xml:space="preserve"> 1.299.303/SC, Rel. Min.</w:t>
      </w:r>
    </w:p>
    <w:p w14:paraId="7E08DADB"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Cesar </w:t>
      </w:r>
      <w:proofErr w:type="spellStart"/>
      <w:r w:rsidRPr="00200C22">
        <w:rPr>
          <w:rFonts w:ascii="Garamond" w:hAnsi="Garamond"/>
          <w:iCs/>
          <w:spacing w:val="-3"/>
          <w:sz w:val="20"/>
          <w:szCs w:val="20"/>
          <w:lang w:val="pt-BR"/>
        </w:rPr>
        <w:t>Asfor</w:t>
      </w:r>
      <w:proofErr w:type="spellEnd"/>
      <w:r w:rsidRPr="00200C22">
        <w:rPr>
          <w:rFonts w:ascii="Garamond" w:hAnsi="Garamond"/>
          <w:iCs/>
          <w:spacing w:val="-3"/>
          <w:sz w:val="20"/>
          <w:szCs w:val="20"/>
          <w:lang w:val="pt-BR"/>
        </w:rPr>
        <w:t xml:space="preserve"> Rocha, </w:t>
      </w:r>
      <w:proofErr w:type="spellStart"/>
      <w:r w:rsidRPr="00200C22">
        <w:rPr>
          <w:rFonts w:ascii="Garamond" w:hAnsi="Garamond"/>
          <w:iCs/>
          <w:spacing w:val="-3"/>
          <w:sz w:val="20"/>
          <w:szCs w:val="20"/>
          <w:lang w:val="pt-BR"/>
        </w:rPr>
        <w:t>DJe</w:t>
      </w:r>
      <w:proofErr w:type="spellEnd"/>
      <w:r w:rsidRPr="00200C22">
        <w:rPr>
          <w:rFonts w:ascii="Garamond" w:hAnsi="Garamond"/>
          <w:iCs/>
          <w:spacing w:val="-3"/>
          <w:sz w:val="20"/>
          <w:szCs w:val="20"/>
          <w:lang w:val="pt-BR"/>
        </w:rPr>
        <w:t xml:space="preserve"> de 14.8.2012, na sistemática prevista no art.</w:t>
      </w:r>
    </w:p>
    <w:p w14:paraId="34C0F36D"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543-C do CPC, pacificou entendimento no sentido de que o usuário do serviço de energia elétrica (consumidor em operação interna), na condição de contribuinte de fato, é parte legítima para discutir a incidência do ICMS sobre a demanda contratada de energia elétrica ou para pleitear a repetição do tributo mencionado, não sendo aplicável à hipótese a orientação firmada no julgamento do </w:t>
      </w:r>
      <w:proofErr w:type="spellStart"/>
      <w:r w:rsidRPr="00200C22">
        <w:rPr>
          <w:rFonts w:ascii="Garamond" w:hAnsi="Garamond"/>
          <w:iCs/>
          <w:spacing w:val="-3"/>
          <w:sz w:val="20"/>
          <w:szCs w:val="20"/>
          <w:lang w:val="pt-BR"/>
        </w:rPr>
        <w:t>REsp</w:t>
      </w:r>
      <w:proofErr w:type="spellEnd"/>
      <w:r w:rsidRPr="00200C22">
        <w:rPr>
          <w:rFonts w:ascii="Garamond" w:hAnsi="Garamond"/>
          <w:iCs/>
          <w:spacing w:val="-3"/>
          <w:sz w:val="20"/>
          <w:szCs w:val="20"/>
          <w:lang w:val="pt-BR"/>
        </w:rPr>
        <w:t xml:space="preserve"> 903.394/AL (1ª Seção, Rel. Min. Luiz </w:t>
      </w:r>
      <w:proofErr w:type="spellStart"/>
      <w:r w:rsidRPr="00200C22">
        <w:rPr>
          <w:rFonts w:ascii="Garamond" w:hAnsi="Garamond"/>
          <w:iCs/>
          <w:spacing w:val="-3"/>
          <w:sz w:val="20"/>
          <w:szCs w:val="20"/>
          <w:lang w:val="pt-BR"/>
        </w:rPr>
        <w:t>Fux</w:t>
      </w:r>
      <w:proofErr w:type="spellEnd"/>
      <w:r w:rsidRPr="00200C22">
        <w:rPr>
          <w:rFonts w:ascii="Garamond" w:hAnsi="Garamond"/>
          <w:iCs/>
          <w:spacing w:val="-3"/>
          <w:sz w:val="20"/>
          <w:szCs w:val="20"/>
          <w:lang w:val="pt-BR"/>
        </w:rPr>
        <w:t xml:space="preserve">, </w:t>
      </w:r>
      <w:proofErr w:type="spellStart"/>
      <w:r w:rsidRPr="00200C22">
        <w:rPr>
          <w:rFonts w:ascii="Garamond" w:hAnsi="Garamond"/>
          <w:iCs/>
          <w:spacing w:val="-3"/>
          <w:sz w:val="20"/>
          <w:szCs w:val="20"/>
          <w:lang w:val="pt-BR"/>
        </w:rPr>
        <w:t>DJe</w:t>
      </w:r>
      <w:proofErr w:type="spellEnd"/>
      <w:r w:rsidRPr="00200C22">
        <w:rPr>
          <w:rFonts w:ascii="Garamond" w:hAnsi="Garamond"/>
          <w:iCs/>
          <w:spacing w:val="-3"/>
          <w:sz w:val="20"/>
          <w:szCs w:val="20"/>
          <w:lang w:val="pt-BR"/>
        </w:rPr>
        <w:t xml:space="preserve"> de 26.4.2010 - recurso submetido à sistemática prevista no art. 543-C do CPC).</w:t>
      </w:r>
    </w:p>
    <w:p w14:paraId="69477DC7"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lastRenderedPageBreak/>
        <w:t xml:space="preserve">3. No ponto, não há falar em ofensa à cláusula de reserva de plenário (art. 97 da Constituição Federal), tampouco em infringência da Súmula Vinculante nº 10, considerando que o STJ, o apreciar o </w:t>
      </w:r>
      <w:proofErr w:type="spellStart"/>
      <w:r w:rsidRPr="00200C22">
        <w:rPr>
          <w:rFonts w:ascii="Garamond" w:hAnsi="Garamond"/>
          <w:iCs/>
          <w:spacing w:val="-3"/>
          <w:sz w:val="20"/>
          <w:szCs w:val="20"/>
          <w:lang w:val="pt-BR"/>
        </w:rPr>
        <w:t>REsp</w:t>
      </w:r>
      <w:proofErr w:type="spellEnd"/>
      <w:r w:rsidRPr="00200C22">
        <w:rPr>
          <w:rFonts w:ascii="Garamond" w:hAnsi="Garamond"/>
          <w:iCs/>
          <w:spacing w:val="-3"/>
          <w:sz w:val="20"/>
          <w:szCs w:val="20"/>
          <w:lang w:val="pt-BR"/>
        </w:rPr>
        <w:t xml:space="preserve"> 1.299.303/SC, interpretou a legislação ordinária (art. 4º da Lei Complementar nº 87/96).</w:t>
      </w:r>
    </w:p>
    <w:p w14:paraId="76B12BAF"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4. Agravo regimental não provido. </w:t>
      </w:r>
      <w:r w:rsidRPr="00200C22">
        <w:rPr>
          <w:rFonts w:ascii="Garamond" w:hAnsi="Garamond"/>
          <w:b/>
          <w:iCs/>
          <w:spacing w:val="-3"/>
          <w:sz w:val="20"/>
          <w:szCs w:val="20"/>
          <w:lang w:val="pt-BR"/>
        </w:rPr>
        <w:t>(</w:t>
      </w:r>
      <w:proofErr w:type="spellStart"/>
      <w:r w:rsidRPr="00200C22">
        <w:rPr>
          <w:rFonts w:ascii="Garamond" w:hAnsi="Garamond"/>
          <w:b/>
          <w:iCs/>
          <w:spacing w:val="-3"/>
          <w:sz w:val="20"/>
          <w:szCs w:val="20"/>
          <w:lang w:val="pt-BR"/>
        </w:rPr>
        <w:t>AgRg</w:t>
      </w:r>
      <w:proofErr w:type="spellEnd"/>
      <w:r w:rsidRPr="00200C22">
        <w:rPr>
          <w:rFonts w:ascii="Garamond" w:hAnsi="Garamond"/>
          <w:b/>
          <w:iCs/>
          <w:spacing w:val="-3"/>
          <w:sz w:val="20"/>
          <w:szCs w:val="20"/>
          <w:lang w:val="pt-BR"/>
        </w:rPr>
        <w:t xml:space="preserve"> no </w:t>
      </w:r>
      <w:proofErr w:type="spellStart"/>
      <w:r w:rsidRPr="00200C22">
        <w:rPr>
          <w:rFonts w:ascii="Garamond" w:hAnsi="Garamond"/>
          <w:b/>
          <w:iCs/>
          <w:spacing w:val="-3"/>
          <w:sz w:val="20"/>
          <w:szCs w:val="20"/>
          <w:lang w:val="pt-BR"/>
        </w:rPr>
        <w:t>REsp</w:t>
      </w:r>
      <w:proofErr w:type="spellEnd"/>
      <w:r w:rsidRPr="00200C22">
        <w:rPr>
          <w:rFonts w:ascii="Garamond" w:hAnsi="Garamond"/>
          <w:b/>
          <w:iCs/>
          <w:spacing w:val="-3"/>
          <w:sz w:val="20"/>
          <w:szCs w:val="20"/>
          <w:lang w:val="pt-BR"/>
        </w:rPr>
        <w:t xml:space="preserve"> 1278024/MG, Rel. Ministro BENEDITO GONÇALVES, PRIMEIRA TURMA, julgado em 07/02/2013, </w:t>
      </w:r>
      <w:proofErr w:type="spellStart"/>
      <w:r w:rsidRPr="00200C22">
        <w:rPr>
          <w:rFonts w:ascii="Garamond" w:hAnsi="Garamond"/>
          <w:b/>
          <w:iCs/>
          <w:spacing w:val="-3"/>
          <w:sz w:val="20"/>
          <w:szCs w:val="20"/>
          <w:lang w:val="pt-BR"/>
        </w:rPr>
        <w:t>DJe</w:t>
      </w:r>
      <w:proofErr w:type="spellEnd"/>
      <w:r w:rsidRPr="00200C22">
        <w:rPr>
          <w:rFonts w:ascii="Garamond" w:hAnsi="Garamond"/>
          <w:b/>
          <w:iCs/>
          <w:spacing w:val="-3"/>
          <w:sz w:val="20"/>
          <w:szCs w:val="20"/>
          <w:lang w:val="pt-BR"/>
        </w:rPr>
        <w:t xml:space="preserve"> 14/02/2013)</w:t>
      </w:r>
      <w:r w:rsidRPr="00200C22">
        <w:rPr>
          <w:rFonts w:ascii="Garamond" w:hAnsi="Garamond"/>
          <w:iCs/>
          <w:spacing w:val="-3"/>
          <w:sz w:val="20"/>
          <w:szCs w:val="20"/>
          <w:lang w:val="pt-BR"/>
        </w:rPr>
        <w:t>”.</w:t>
      </w:r>
    </w:p>
    <w:p w14:paraId="05E5C41A" w14:textId="77777777" w:rsidR="00EF4BB9" w:rsidRPr="00200C22" w:rsidRDefault="00EF4BB9" w:rsidP="00EF4BB9">
      <w:pPr>
        <w:spacing w:line="360" w:lineRule="auto"/>
        <w:jc w:val="both"/>
        <w:rPr>
          <w:rFonts w:ascii="Garamond" w:hAnsi="Garamond"/>
          <w:spacing w:val="-3"/>
          <w:lang w:val="pt-BR"/>
        </w:rPr>
      </w:pPr>
    </w:p>
    <w:p w14:paraId="5AA0BFBB" w14:textId="77777777" w:rsidR="00EF4BB9" w:rsidRPr="00200C22" w:rsidRDefault="00EF4BB9" w:rsidP="00EF4BB9">
      <w:pPr>
        <w:spacing w:line="360" w:lineRule="auto"/>
        <w:jc w:val="both"/>
        <w:rPr>
          <w:rFonts w:ascii="Garamond" w:hAnsi="Garamond"/>
          <w:spacing w:val="-3"/>
          <w:lang w:val="pt-BR"/>
        </w:rPr>
      </w:pPr>
    </w:p>
    <w:p w14:paraId="63E8622A" w14:textId="77777777" w:rsidR="00EF4BB9" w:rsidRPr="00200C22" w:rsidRDefault="00EF4BB9" w:rsidP="00EF4BB9">
      <w:pPr>
        <w:spacing w:line="360" w:lineRule="auto"/>
        <w:ind w:firstLine="2835"/>
        <w:jc w:val="both"/>
        <w:rPr>
          <w:rFonts w:ascii="Garamond" w:hAnsi="Garamond"/>
          <w:spacing w:val="-3"/>
          <w:lang w:val="pt-BR"/>
        </w:rPr>
      </w:pPr>
      <w:r w:rsidRPr="00200C22">
        <w:rPr>
          <w:rFonts w:ascii="Garamond" w:hAnsi="Garamond"/>
          <w:spacing w:val="-3"/>
          <w:lang w:val="pt-BR"/>
        </w:rPr>
        <w:t xml:space="preserve">No mesmo sentido, a jurisprudência pátria </w:t>
      </w:r>
      <w:r w:rsidRPr="00200C22">
        <w:rPr>
          <w:rFonts w:ascii="Garamond" w:hAnsi="Garamond"/>
          <w:b/>
          <w:spacing w:val="-3"/>
          <w:lang w:val="pt-BR"/>
        </w:rPr>
        <w:t>(TJ/MG, TJ/SP e TJ/RS)</w:t>
      </w:r>
      <w:r w:rsidRPr="00200C22">
        <w:rPr>
          <w:rFonts w:ascii="Garamond" w:hAnsi="Garamond"/>
          <w:spacing w:val="-3"/>
          <w:lang w:val="pt-BR"/>
        </w:rPr>
        <w:t>:</w:t>
      </w:r>
    </w:p>
    <w:p w14:paraId="650AE169" w14:textId="77777777" w:rsidR="00EF4BB9" w:rsidRPr="00200C22" w:rsidRDefault="00EF4BB9" w:rsidP="00EF4BB9">
      <w:pPr>
        <w:spacing w:line="360" w:lineRule="auto"/>
        <w:jc w:val="both"/>
        <w:rPr>
          <w:rFonts w:ascii="Garamond" w:hAnsi="Garamond"/>
          <w:spacing w:val="-3"/>
          <w:lang w:val="pt-BR"/>
        </w:rPr>
      </w:pPr>
    </w:p>
    <w:p w14:paraId="6D767885"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 xml:space="preserve">“EMENTA: AGRAVO DE INSTRUMENTO - TRIBUTÁRIO - ICMS -CONCESSIONÁRIA DE ENERGIA ELÉTRICA - CONSUMIDOR FINAL - TRANSMISSÃO E DISTRIBUIÇÃO DE ENERGIA ELÉTRICA (TUST E TUSD) - NÃO INCIDÊNCIA DO ICMS. </w:t>
      </w:r>
    </w:p>
    <w:p w14:paraId="74FA7E6C"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 xml:space="preserve">O ICMS não incide sobre a TUSD e TUST, porquanto o fato gerador do aludido imposto ocorre com o efetivo consumo da energia elétrica, e não com a simples transmissão e distribuição.  </w:t>
      </w:r>
      <w:r w:rsidRPr="00200C22">
        <w:rPr>
          <w:rFonts w:ascii="Garamond" w:hAnsi="Garamond"/>
          <w:b/>
          <w:iCs/>
          <w:spacing w:val="-3"/>
          <w:lang w:val="pt-BR"/>
        </w:rPr>
        <w:t xml:space="preserve">(TJMG </w:t>
      </w:r>
      <w:proofErr w:type="gramStart"/>
      <w:r w:rsidRPr="00200C22">
        <w:rPr>
          <w:rFonts w:ascii="Garamond" w:hAnsi="Garamond"/>
          <w:b/>
          <w:iCs/>
          <w:spacing w:val="-3"/>
          <w:lang w:val="pt-BR"/>
        </w:rPr>
        <w:t>-  Agravo</w:t>
      </w:r>
      <w:proofErr w:type="gramEnd"/>
      <w:r w:rsidRPr="00200C22">
        <w:rPr>
          <w:rFonts w:ascii="Garamond" w:hAnsi="Garamond"/>
          <w:b/>
          <w:iCs/>
          <w:spacing w:val="-3"/>
          <w:lang w:val="pt-BR"/>
        </w:rPr>
        <w:t xml:space="preserve"> de Instrumento-</w:t>
      </w:r>
      <w:proofErr w:type="spellStart"/>
      <w:r w:rsidRPr="00200C22">
        <w:rPr>
          <w:rFonts w:ascii="Garamond" w:hAnsi="Garamond"/>
          <w:b/>
          <w:iCs/>
          <w:spacing w:val="-3"/>
          <w:lang w:val="pt-BR"/>
        </w:rPr>
        <w:t>Cv</w:t>
      </w:r>
      <w:proofErr w:type="spellEnd"/>
      <w:r w:rsidRPr="00200C22">
        <w:rPr>
          <w:rFonts w:ascii="Garamond" w:hAnsi="Garamond"/>
          <w:b/>
          <w:iCs/>
          <w:spacing w:val="-3"/>
          <w:lang w:val="pt-BR"/>
        </w:rPr>
        <w:t xml:space="preserve">  1.0024.14.187277-0/001, Relator(a): Des.(a) Jair Varão , 3ª CÂMARA CÍVEL, julgamento em 26/03/2015, publicação da súmula em 13/04/2015)</w:t>
      </w:r>
      <w:r w:rsidRPr="00200C22">
        <w:rPr>
          <w:rFonts w:ascii="Garamond" w:hAnsi="Garamond"/>
          <w:iCs/>
          <w:spacing w:val="-3"/>
          <w:lang w:val="pt-BR"/>
        </w:rPr>
        <w:t>.</w:t>
      </w:r>
    </w:p>
    <w:p w14:paraId="48D0FC08" w14:textId="77777777" w:rsidR="00EF4BB9" w:rsidRPr="00200C22" w:rsidRDefault="00EF4BB9" w:rsidP="00200C22">
      <w:pPr>
        <w:ind w:left="4248"/>
        <w:jc w:val="both"/>
        <w:rPr>
          <w:rFonts w:ascii="Garamond" w:hAnsi="Garamond"/>
          <w:iCs/>
          <w:spacing w:val="-3"/>
          <w:lang w:val="pt-BR"/>
        </w:rPr>
      </w:pPr>
    </w:p>
    <w:p w14:paraId="1461900E"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w:t>
      </w:r>
    </w:p>
    <w:p w14:paraId="7DE0380F" w14:textId="77777777" w:rsidR="00EF4BB9" w:rsidRPr="00200C22" w:rsidRDefault="00EF4BB9" w:rsidP="00200C22">
      <w:pPr>
        <w:ind w:left="4248"/>
        <w:jc w:val="both"/>
        <w:rPr>
          <w:rFonts w:ascii="Garamond" w:hAnsi="Garamond"/>
          <w:iCs/>
          <w:spacing w:val="-3"/>
          <w:lang w:val="pt-BR"/>
        </w:rPr>
      </w:pPr>
    </w:p>
    <w:p w14:paraId="1DD38286"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 xml:space="preserve">AGRAVO DE INSTRUMENTO. Ação Declaratória. Tutela Antecipada. Insurgência contra incidência de ICMS sobre as tarifas TUST e TUSD. Cabimento. Fato gerador do ICMS que é a circulação jurídica da energia elétrica e não a prestação do serviço de transmissão e distribuição. Precedentes do C. STJ e deste </w:t>
      </w:r>
      <w:proofErr w:type="spellStart"/>
      <w:r w:rsidRPr="00200C22">
        <w:rPr>
          <w:rFonts w:ascii="Garamond" w:hAnsi="Garamond"/>
          <w:iCs/>
          <w:spacing w:val="-3"/>
          <w:lang w:val="pt-BR"/>
        </w:rPr>
        <w:t>Eg</w:t>
      </w:r>
      <w:proofErr w:type="spellEnd"/>
      <w:r w:rsidRPr="00200C22">
        <w:rPr>
          <w:rFonts w:ascii="Garamond" w:hAnsi="Garamond"/>
          <w:iCs/>
          <w:spacing w:val="-3"/>
          <w:lang w:val="pt-BR"/>
        </w:rPr>
        <w:t xml:space="preserve">. TJSP. Ausência dos requisitos legais do art. 273 do CPC. Decisão reformada. Recurso provido. </w:t>
      </w:r>
    </w:p>
    <w:p w14:paraId="564317E2" w14:textId="77777777" w:rsidR="00EF4BB9" w:rsidRPr="00200C22" w:rsidRDefault="00EF4BB9" w:rsidP="00200C22">
      <w:pPr>
        <w:ind w:left="4248"/>
        <w:jc w:val="both"/>
        <w:rPr>
          <w:rFonts w:ascii="Garamond" w:hAnsi="Garamond"/>
          <w:iCs/>
          <w:spacing w:val="-3"/>
          <w:lang w:val="pt-BR"/>
        </w:rPr>
      </w:pPr>
      <w:r w:rsidRPr="00200C22">
        <w:rPr>
          <w:rFonts w:ascii="Garamond" w:hAnsi="Garamond"/>
          <w:b/>
          <w:iCs/>
          <w:spacing w:val="-3"/>
          <w:lang w:val="pt-BR"/>
        </w:rPr>
        <w:t xml:space="preserve">(Relator(a): Claudio Augusto </w:t>
      </w:r>
      <w:proofErr w:type="spellStart"/>
      <w:r w:rsidRPr="00200C22">
        <w:rPr>
          <w:rFonts w:ascii="Garamond" w:hAnsi="Garamond"/>
          <w:b/>
          <w:iCs/>
          <w:spacing w:val="-3"/>
          <w:lang w:val="pt-BR"/>
        </w:rPr>
        <w:t>Pedrassi</w:t>
      </w:r>
      <w:proofErr w:type="spellEnd"/>
      <w:r w:rsidRPr="00200C22">
        <w:rPr>
          <w:rFonts w:ascii="Garamond" w:hAnsi="Garamond"/>
          <w:b/>
          <w:iCs/>
          <w:spacing w:val="-3"/>
          <w:lang w:val="pt-BR"/>
        </w:rPr>
        <w:t>; Comarca: São Paulo; Órgão julgador: 2ª Câmara de Direito Público; Data do julgamento: 17/03/2016; Data de registro: 17/03/2016)</w:t>
      </w:r>
      <w:r w:rsidRPr="00200C22">
        <w:rPr>
          <w:rFonts w:ascii="Garamond" w:hAnsi="Garamond"/>
          <w:iCs/>
          <w:spacing w:val="-3"/>
          <w:lang w:val="pt-BR"/>
        </w:rPr>
        <w:t>.</w:t>
      </w:r>
    </w:p>
    <w:p w14:paraId="66F824B2" w14:textId="77777777" w:rsidR="00EF4BB9" w:rsidRPr="00200C22" w:rsidRDefault="00EF4BB9" w:rsidP="00200C22">
      <w:pPr>
        <w:ind w:left="4248"/>
        <w:jc w:val="both"/>
        <w:rPr>
          <w:rFonts w:ascii="Garamond" w:hAnsi="Garamond"/>
          <w:iCs/>
          <w:spacing w:val="-3"/>
          <w:lang w:val="pt-BR"/>
        </w:rPr>
      </w:pPr>
    </w:p>
    <w:p w14:paraId="58A4BA92"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w:t>
      </w:r>
    </w:p>
    <w:p w14:paraId="4296612F" w14:textId="77777777" w:rsidR="00EF4BB9" w:rsidRPr="00200C22" w:rsidRDefault="00EF4BB9" w:rsidP="00200C22">
      <w:pPr>
        <w:ind w:left="4248"/>
        <w:jc w:val="both"/>
        <w:rPr>
          <w:rFonts w:ascii="Garamond" w:hAnsi="Garamond"/>
          <w:iCs/>
          <w:spacing w:val="-3"/>
          <w:lang w:val="pt-BR"/>
        </w:rPr>
      </w:pPr>
    </w:p>
    <w:p w14:paraId="1E1B225D"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AGRAVO DE INSTRUMENTO –  ICMS – Pretensão à cessação de cobrança de ICMS sobre valores relativos a Tarifa de Uso do Sistema de Transmissão (TUST) e Distribuição (TUSD) – Liminar deferida – Incidência indevida –  Precedentes do C. Superior Tribunal de Justiça e desta E. Corte –  Requisitos do "fumus boni iuris" e do "periculum in mora" configurados –  Decisão mantida –  Recurso não provido.</w:t>
      </w:r>
    </w:p>
    <w:p w14:paraId="12021EE8" w14:textId="77777777" w:rsidR="00EF4BB9" w:rsidRPr="00200C22" w:rsidRDefault="00EF4BB9" w:rsidP="00200C22">
      <w:pPr>
        <w:ind w:left="4248"/>
        <w:jc w:val="both"/>
        <w:rPr>
          <w:rFonts w:ascii="Garamond" w:hAnsi="Garamond"/>
          <w:iCs/>
          <w:spacing w:val="-3"/>
          <w:lang w:val="pt-BR"/>
        </w:rPr>
      </w:pPr>
      <w:r w:rsidRPr="00200C22">
        <w:rPr>
          <w:rFonts w:ascii="Garamond" w:hAnsi="Garamond"/>
          <w:b/>
          <w:iCs/>
          <w:spacing w:val="-3"/>
          <w:lang w:val="pt-BR"/>
        </w:rPr>
        <w:t xml:space="preserve">(Relator(a): </w:t>
      </w:r>
      <w:proofErr w:type="gramStart"/>
      <w:r w:rsidRPr="00200C22">
        <w:rPr>
          <w:rFonts w:ascii="Garamond" w:hAnsi="Garamond"/>
          <w:b/>
          <w:iCs/>
          <w:spacing w:val="-3"/>
          <w:lang w:val="pt-BR"/>
        </w:rPr>
        <w:t>Manoel  Ribeiro</w:t>
      </w:r>
      <w:proofErr w:type="gramEnd"/>
      <w:r w:rsidRPr="00200C22">
        <w:rPr>
          <w:rFonts w:ascii="Garamond" w:hAnsi="Garamond"/>
          <w:b/>
          <w:iCs/>
          <w:spacing w:val="-3"/>
          <w:lang w:val="pt-BR"/>
        </w:rPr>
        <w:t>; Comarca: São Paulo; Órgão julgador: 8ª Câmara de Direito Público; Data do julgamento: 16/03/2016; Data de registro: 16/03/2016)</w:t>
      </w:r>
      <w:r w:rsidRPr="00200C22">
        <w:rPr>
          <w:rFonts w:ascii="Garamond" w:hAnsi="Garamond"/>
          <w:iCs/>
          <w:spacing w:val="-3"/>
          <w:lang w:val="pt-BR"/>
        </w:rPr>
        <w:t>.</w:t>
      </w:r>
    </w:p>
    <w:p w14:paraId="76686AF1"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w:t>
      </w:r>
    </w:p>
    <w:p w14:paraId="1EDB9664" w14:textId="77777777" w:rsidR="00EF4BB9" w:rsidRPr="00200C22" w:rsidRDefault="00EF4BB9" w:rsidP="00200C22">
      <w:pPr>
        <w:ind w:left="4248"/>
        <w:jc w:val="both"/>
        <w:rPr>
          <w:rFonts w:ascii="Garamond" w:hAnsi="Garamond"/>
          <w:iCs/>
          <w:spacing w:val="-3"/>
          <w:lang w:val="pt-BR"/>
        </w:rPr>
      </w:pPr>
    </w:p>
    <w:p w14:paraId="69253119"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 xml:space="preserve">AGRAVO DE INSTRUMENTO. DIREITO TRIBUTÁRIO. MANDADO DE SEGURANÇA. LIMINAR. A concessão de liminar na via mandamental exige que o direito líquido e certo seja demonstrado por prova documental inequívoca e pré-constituída. ICMS. FORNECIMENTO DE ENERGIA ELÉTRICA. </w:t>
      </w:r>
      <w:proofErr w:type="gramStart"/>
      <w:r w:rsidRPr="00200C22">
        <w:rPr>
          <w:rFonts w:ascii="Garamond" w:hAnsi="Garamond"/>
          <w:iCs/>
          <w:spacing w:val="-3"/>
          <w:lang w:val="pt-BR"/>
        </w:rPr>
        <w:t>NÃO  INCIDÊNCIA</w:t>
      </w:r>
      <w:proofErr w:type="gramEnd"/>
      <w:r w:rsidRPr="00200C22">
        <w:rPr>
          <w:rFonts w:ascii="Garamond" w:hAnsi="Garamond"/>
          <w:iCs/>
          <w:spacing w:val="-3"/>
          <w:lang w:val="pt-BR"/>
        </w:rPr>
        <w:t xml:space="preserve"> SOBRE O CUSTO DO USO DO SISTEMA DE TRANSMISSÃO DE ENERGIA CONSUMIDA. TARIFA TUST. Nos termos do mais recente posicionamento do Superior Tribunal de Justiça, restou pacificado o entendimento de que a TUST (Taxa de Uso do Sistema de Transmissão de Energia Elétrica) e a TUSD (Taxa de Uso do Sistema de Distribuição de Energia Elétrica) não fazem parte da base de cálculo do ICMS, incidindo, na espécie, o disposto na Súmula 166/STJ. Precedentes do STJ. RECURSO A QUE SE DÁ PROVIMENTO. DECISÃO MONOCRÁTICA. </w:t>
      </w:r>
      <w:r w:rsidRPr="00200C22">
        <w:rPr>
          <w:rFonts w:ascii="Garamond" w:hAnsi="Garamond"/>
          <w:b/>
          <w:iCs/>
          <w:spacing w:val="-3"/>
          <w:lang w:val="pt-BR"/>
        </w:rPr>
        <w:t>(Agravo de Instrumento Nº 70063359830, Vigésima Segunda Câmara Cível, Tribunal de Justiça do RS, Relator: Denise Oliveira Cezar, Julgado em 28/01/2015).</w:t>
      </w:r>
    </w:p>
    <w:p w14:paraId="52D983D1" w14:textId="77777777" w:rsidR="00EF4BB9" w:rsidRPr="00200C22" w:rsidRDefault="00EF4BB9" w:rsidP="00200C22">
      <w:pPr>
        <w:ind w:left="4248"/>
        <w:jc w:val="both"/>
        <w:rPr>
          <w:rFonts w:ascii="Garamond" w:hAnsi="Garamond"/>
          <w:iCs/>
          <w:spacing w:val="-3"/>
          <w:lang w:val="pt-BR"/>
        </w:rPr>
      </w:pPr>
    </w:p>
    <w:p w14:paraId="7DA2CCCD"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w:t>
      </w:r>
    </w:p>
    <w:p w14:paraId="6997D98B" w14:textId="77777777" w:rsidR="00EF4BB9" w:rsidRPr="00200C22" w:rsidRDefault="00EF4BB9" w:rsidP="00200C22">
      <w:pPr>
        <w:ind w:left="4248"/>
        <w:jc w:val="both"/>
        <w:rPr>
          <w:rFonts w:ascii="Garamond" w:hAnsi="Garamond"/>
          <w:iCs/>
          <w:spacing w:val="-3"/>
          <w:lang w:val="pt-BR"/>
        </w:rPr>
      </w:pPr>
    </w:p>
    <w:p w14:paraId="01819A1E" w14:textId="77777777" w:rsidR="00EF4BB9" w:rsidRPr="00200C22" w:rsidRDefault="00EF4BB9" w:rsidP="00200C22">
      <w:pPr>
        <w:ind w:left="4248"/>
        <w:jc w:val="both"/>
        <w:rPr>
          <w:rFonts w:ascii="Garamond" w:hAnsi="Garamond"/>
          <w:iCs/>
          <w:spacing w:val="-3"/>
          <w:lang w:val="pt-BR"/>
        </w:rPr>
      </w:pPr>
      <w:r w:rsidRPr="00200C22">
        <w:rPr>
          <w:rFonts w:ascii="Garamond" w:hAnsi="Garamond"/>
          <w:iCs/>
          <w:spacing w:val="-3"/>
          <w:lang w:val="pt-BR"/>
        </w:rPr>
        <w:t xml:space="preserve">MANDADO DE SEGURANÇA. TRIBUTÁRIO. ICMS. TUSD. LIMINAR. 1. A concessão da medida liminar em mandado de segurança exige relevante fundamento de direito e prova do risco de ineficácia da medida. </w:t>
      </w:r>
      <w:r w:rsidRPr="00200C22">
        <w:rPr>
          <w:rFonts w:ascii="Garamond" w:hAnsi="Garamond"/>
          <w:iCs/>
          <w:spacing w:val="-3"/>
          <w:lang w:val="pt-BR"/>
        </w:rPr>
        <w:lastRenderedPageBreak/>
        <w:t xml:space="preserve">Art. 7º, III, da Lei n.º 12.016/09. 2. A tarifa de Uso do Sistema </w:t>
      </w:r>
      <w:proofErr w:type="gramStart"/>
      <w:r w:rsidRPr="00200C22">
        <w:rPr>
          <w:rFonts w:ascii="Garamond" w:hAnsi="Garamond"/>
          <w:iCs/>
          <w:spacing w:val="-3"/>
          <w:lang w:val="pt-BR"/>
        </w:rPr>
        <w:t>de  Distribuição</w:t>
      </w:r>
      <w:proofErr w:type="gramEnd"/>
      <w:r w:rsidRPr="00200C22">
        <w:rPr>
          <w:rFonts w:ascii="Garamond" w:hAnsi="Garamond"/>
          <w:iCs/>
          <w:spacing w:val="-3"/>
          <w:lang w:val="pt-BR"/>
        </w:rPr>
        <w:t xml:space="preserve"> de Energia Elétrica - TUSD - não integra a base de cálculo do ICMS. Jurisprudência do STJ. Recurso provido. </w:t>
      </w:r>
      <w:r w:rsidRPr="00200C22">
        <w:rPr>
          <w:rFonts w:ascii="Garamond" w:hAnsi="Garamond"/>
          <w:b/>
          <w:iCs/>
          <w:spacing w:val="-3"/>
          <w:lang w:val="pt-BR"/>
        </w:rPr>
        <w:t>(Agravo de Instrumento Nº 70066509910, Vigésima Segunda Câmara Cível, Tribunal de Justiça do RS, Relator: Maria Isabel de Azevedo Souza, Julgado em 16/09/2015)</w:t>
      </w:r>
      <w:r w:rsidRPr="00200C22">
        <w:rPr>
          <w:rFonts w:ascii="Garamond" w:hAnsi="Garamond"/>
          <w:iCs/>
          <w:spacing w:val="-3"/>
          <w:lang w:val="pt-BR"/>
        </w:rPr>
        <w:t>”.</w:t>
      </w:r>
    </w:p>
    <w:p w14:paraId="64022499" w14:textId="77777777" w:rsidR="00EF4BB9" w:rsidRPr="00200C22" w:rsidRDefault="00EF4BB9" w:rsidP="00EF4BB9">
      <w:pPr>
        <w:jc w:val="both"/>
        <w:rPr>
          <w:rFonts w:ascii="Garamond" w:hAnsi="Garamond"/>
          <w:spacing w:val="-3"/>
          <w:lang w:val="pt-BR"/>
        </w:rPr>
      </w:pPr>
    </w:p>
    <w:p w14:paraId="59A8EFD0" w14:textId="77777777" w:rsidR="00200C22" w:rsidRDefault="00200C22" w:rsidP="00200C22">
      <w:pPr>
        <w:spacing w:line="360" w:lineRule="auto"/>
        <w:jc w:val="both"/>
        <w:rPr>
          <w:rFonts w:ascii="Garamond" w:hAnsi="Garamond"/>
          <w:spacing w:val="-3"/>
          <w:lang w:val="pt-BR"/>
        </w:rPr>
      </w:pPr>
    </w:p>
    <w:p w14:paraId="3ED14563" w14:textId="0AFAFC2D"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 xml:space="preserve">Em resumo, resta claro que os valores pagos a título de TUST e TUSD, devidamente discriminados na planilha anexa, possuem natureza jurídica meramente tarifária </w:t>
      </w:r>
      <w:r w:rsidRPr="00200C22">
        <w:rPr>
          <w:rFonts w:ascii="Garamond" w:hAnsi="Garamond"/>
          <w:b/>
          <w:spacing w:val="-3"/>
          <w:lang w:val="pt-BR"/>
        </w:rPr>
        <w:t xml:space="preserve">(por conta do uso das redes de transmissão e distribuição) </w:t>
      </w:r>
      <w:r w:rsidRPr="00200C22">
        <w:rPr>
          <w:rFonts w:ascii="Garamond" w:hAnsi="Garamond"/>
          <w:spacing w:val="-3"/>
          <w:lang w:val="pt-BR"/>
        </w:rPr>
        <w:t xml:space="preserve">e, portanto, não devem integrar a base de cálculo do ICMS incidente na operação, uma vez que a tributação deve incidir </w:t>
      </w:r>
      <w:r w:rsidRPr="00200C22">
        <w:rPr>
          <w:rFonts w:ascii="Garamond" w:hAnsi="Garamond"/>
          <w:b/>
          <w:spacing w:val="-3"/>
          <w:lang w:val="pt-BR"/>
        </w:rPr>
        <w:t>SOMENTE SOBRE O VALOR DA</w:t>
      </w:r>
      <w:r w:rsidRPr="00200C22">
        <w:rPr>
          <w:rFonts w:ascii="Garamond" w:hAnsi="Garamond"/>
          <w:spacing w:val="-3"/>
          <w:lang w:val="pt-BR"/>
        </w:rPr>
        <w:t xml:space="preserve"> </w:t>
      </w:r>
      <w:r w:rsidRPr="00200C22">
        <w:rPr>
          <w:rFonts w:ascii="Garamond" w:hAnsi="Garamond"/>
          <w:b/>
          <w:spacing w:val="-3"/>
          <w:lang w:val="pt-BR"/>
        </w:rPr>
        <w:t>“POTÊNCIA EFETIVAMENTE UTILIZADA”</w:t>
      </w:r>
      <w:r w:rsidRPr="00200C22">
        <w:rPr>
          <w:rFonts w:ascii="Garamond" w:hAnsi="Garamond"/>
          <w:spacing w:val="-3"/>
          <w:lang w:val="pt-BR"/>
        </w:rPr>
        <w:t>.</w:t>
      </w:r>
    </w:p>
    <w:p w14:paraId="7D5FAE4B" w14:textId="77777777" w:rsidR="00EF4BB9" w:rsidRPr="00200C22" w:rsidRDefault="00EF4BB9" w:rsidP="00EF4BB9">
      <w:pPr>
        <w:spacing w:line="360" w:lineRule="auto"/>
        <w:ind w:firstLine="2835"/>
        <w:jc w:val="both"/>
        <w:rPr>
          <w:rFonts w:ascii="Garamond" w:hAnsi="Garamond"/>
          <w:spacing w:val="-3"/>
          <w:lang w:val="pt-BR"/>
        </w:rPr>
      </w:pPr>
    </w:p>
    <w:p w14:paraId="5AAE7073" w14:textId="77777777"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Sendo assim, exsurge a conclusão de que é inviável a manutenção da cobrança posta à análise, afigurando-se constitucionalmente aceita a repetição do indébito tributário durante os últimos 05 (cinco) anos, com as atualizações de praxe, ou ainda, a compensação, nos termos do artigo 170 do Código Tributário Nacional.</w:t>
      </w:r>
    </w:p>
    <w:p w14:paraId="711CD9B2" w14:textId="77777777" w:rsidR="00EF4BB9" w:rsidRPr="00200C22" w:rsidRDefault="00EF4BB9" w:rsidP="00EF4BB9">
      <w:pPr>
        <w:spacing w:line="360" w:lineRule="auto"/>
        <w:ind w:firstLine="2835"/>
        <w:jc w:val="both"/>
        <w:rPr>
          <w:rFonts w:ascii="Garamond" w:hAnsi="Garamond"/>
          <w:spacing w:val="-3"/>
          <w:lang w:val="pt-BR"/>
        </w:rPr>
      </w:pPr>
    </w:p>
    <w:p w14:paraId="7AD86D68" w14:textId="4104D182" w:rsidR="00EF4BB9" w:rsidRPr="00200C22" w:rsidRDefault="00EF4BB9" w:rsidP="00200C22">
      <w:pPr>
        <w:spacing w:line="360" w:lineRule="auto"/>
        <w:jc w:val="both"/>
        <w:rPr>
          <w:rFonts w:ascii="Garamond" w:hAnsi="Garamond"/>
          <w:b/>
          <w:spacing w:val="-3"/>
          <w:lang w:val="pt-BR"/>
        </w:rPr>
      </w:pPr>
      <w:r w:rsidRPr="00200C22">
        <w:rPr>
          <w:rFonts w:ascii="Garamond" w:hAnsi="Garamond"/>
          <w:b/>
          <w:spacing w:val="-3"/>
          <w:lang w:val="pt-BR"/>
        </w:rPr>
        <w:t>3.</w:t>
      </w:r>
      <w:r w:rsidR="00200C22">
        <w:rPr>
          <w:rFonts w:ascii="Garamond" w:hAnsi="Garamond"/>
          <w:b/>
          <w:spacing w:val="-3"/>
          <w:lang w:val="pt-BR"/>
        </w:rPr>
        <w:t xml:space="preserve"> </w:t>
      </w:r>
      <w:r w:rsidRPr="00200C22">
        <w:rPr>
          <w:rFonts w:ascii="Garamond" w:hAnsi="Garamond"/>
          <w:b/>
          <w:spacing w:val="-3"/>
          <w:lang w:val="pt-BR"/>
        </w:rPr>
        <w:t>DA REPETIÇÃO OU COMPENSAÇÃO DO INDÉBITO TRIBUTÁRIO</w:t>
      </w:r>
    </w:p>
    <w:p w14:paraId="5BEA36C6" w14:textId="77777777" w:rsidR="00EF4BB9" w:rsidRPr="00200C22" w:rsidRDefault="00EF4BB9" w:rsidP="00EF4BB9">
      <w:pPr>
        <w:spacing w:line="360" w:lineRule="auto"/>
        <w:jc w:val="both"/>
        <w:rPr>
          <w:rFonts w:ascii="Garamond" w:hAnsi="Garamond"/>
          <w:spacing w:val="-3"/>
          <w:lang w:val="pt-BR"/>
        </w:rPr>
      </w:pPr>
    </w:p>
    <w:p w14:paraId="43443DD8" w14:textId="77777777"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Assim, demonstrada toda a ilegalidade na inclusão da TUST e TUSD na base de cálculo do ICMS/ENERGIA, comprovadamente suportado pela autora, segue-se que o artigo 165 do CTN autoriza a repetição de todo valor pago indevidamente:</w:t>
      </w:r>
    </w:p>
    <w:p w14:paraId="2C05613C" w14:textId="77777777" w:rsidR="00EF4BB9" w:rsidRPr="00200C22" w:rsidRDefault="00EF4BB9" w:rsidP="00EF4BB9">
      <w:pPr>
        <w:spacing w:line="360" w:lineRule="auto"/>
        <w:jc w:val="both"/>
        <w:rPr>
          <w:rFonts w:ascii="Garamond" w:hAnsi="Garamond"/>
          <w:spacing w:val="-3"/>
          <w:lang w:val="pt-BR"/>
        </w:rPr>
      </w:pPr>
    </w:p>
    <w:p w14:paraId="65700580"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“Art. 165. O sujeito passivo tem direito, independentemente de prévio protesto, à restituição total ou parcial do tributo, seja qual for a modalidade do seu pagamento, ressalvado o disposto no § 4º do artigo 162, nos seguintes casos:</w:t>
      </w:r>
    </w:p>
    <w:p w14:paraId="158FDD03"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I - </w:t>
      </w:r>
      <w:proofErr w:type="gramStart"/>
      <w:r w:rsidRPr="00200C22">
        <w:rPr>
          <w:rFonts w:ascii="Garamond" w:hAnsi="Garamond"/>
          <w:iCs/>
          <w:spacing w:val="-3"/>
          <w:sz w:val="20"/>
          <w:szCs w:val="20"/>
          <w:lang w:val="pt-BR"/>
        </w:rPr>
        <w:t>cobrança</w:t>
      </w:r>
      <w:proofErr w:type="gramEnd"/>
      <w:r w:rsidRPr="00200C22">
        <w:rPr>
          <w:rFonts w:ascii="Garamond" w:hAnsi="Garamond"/>
          <w:iCs/>
          <w:spacing w:val="-3"/>
          <w:sz w:val="20"/>
          <w:szCs w:val="20"/>
          <w:lang w:val="pt-BR"/>
        </w:rPr>
        <w:t xml:space="preserve"> ou pagamento espontâneo de tributo indevido ou maior que o devido em face da legislação tributária aplicável, ou da natureza ou circunstâncias materiais do fato gerador efetivamente ocorrido;</w:t>
      </w:r>
    </w:p>
    <w:p w14:paraId="4B1E89F1"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II - </w:t>
      </w:r>
      <w:proofErr w:type="gramStart"/>
      <w:r w:rsidRPr="00200C22">
        <w:rPr>
          <w:rFonts w:ascii="Garamond" w:hAnsi="Garamond"/>
          <w:iCs/>
          <w:spacing w:val="-3"/>
          <w:sz w:val="20"/>
          <w:szCs w:val="20"/>
          <w:lang w:val="pt-BR"/>
        </w:rPr>
        <w:t>erro</w:t>
      </w:r>
      <w:proofErr w:type="gramEnd"/>
      <w:r w:rsidRPr="00200C22">
        <w:rPr>
          <w:rFonts w:ascii="Garamond" w:hAnsi="Garamond"/>
          <w:iCs/>
          <w:spacing w:val="-3"/>
          <w:sz w:val="20"/>
          <w:szCs w:val="20"/>
          <w:lang w:val="pt-BR"/>
        </w:rPr>
        <w:t xml:space="preserve"> na edificação do sujeito passivo, na determinação da alíquota aplicável, no cálculo do montante do débito ou na elaboração ou conferência de qualquer documento relativo ao pagamento;</w:t>
      </w:r>
    </w:p>
    <w:p w14:paraId="6D9EB1D3"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III - reforma, anulação, revogação ou rescisão de decisão condenatória.”</w:t>
      </w:r>
    </w:p>
    <w:p w14:paraId="7C18CC3B" w14:textId="77777777" w:rsidR="00EF4BB9" w:rsidRPr="00200C22" w:rsidRDefault="00EF4BB9" w:rsidP="00EF4BB9">
      <w:pPr>
        <w:jc w:val="both"/>
        <w:rPr>
          <w:rFonts w:ascii="Garamond" w:hAnsi="Garamond"/>
          <w:spacing w:val="-3"/>
          <w:lang w:val="pt-BR"/>
        </w:rPr>
      </w:pPr>
    </w:p>
    <w:p w14:paraId="5E5FF8E1" w14:textId="2EEFE5B6"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lastRenderedPageBreak/>
        <w:t>Consagra esse dispositivo, basicamente, o direito do sujeito passivo, em caso de recolhimento espontâneo de tributo indevido, pleitear sua restituição, acrescendo-se juros e correção monetária.</w:t>
      </w:r>
    </w:p>
    <w:p w14:paraId="22DBBCE9" w14:textId="77777777" w:rsidR="00EF4BB9" w:rsidRPr="00200C22" w:rsidRDefault="00EF4BB9" w:rsidP="00EF4BB9">
      <w:pPr>
        <w:spacing w:line="360" w:lineRule="auto"/>
        <w:jc w:val="both"/>
        <w:rPr>
          <w:rFonts w:ascii="Garamond" w:hAnsi="Garamond"/>
          <w:spacing w:val="-3"/>
          <w:lang w:val="pt-BR"/>
        </w:rPr>
      </w:pPr>
    </w:p>
    <w:p w14:paraId="62EB0312" w14:textId="6EBD6B62" w:rsidR="00EF4BB9" w:rsidRPr="00200C22" w:rsidRDefault="00EF4BB9" w:rsidP="00EF4BB9">
      <w:pPr>
        <w:spacing w:line="360" w:lineRule="auto"/>
        <w:jc w:val="both"/>
        <w:rPr>
          <w:rFonts w:ascii="Garamond" w:hAnsi="Garamond"/>
          <w:spacing w:val="-3"/>
          <w:lang w:val="pt-BR"/>
        </w:rPr>
      </w:pPr>
      <w:r w:rsidRPr="00200C22">
        <w:rPr>
          <w:rFonts w:ascii="Garamond" w:hAnsi="Garamond"/>
          <w:spacing w:val="-3"/>
          <w:lang w:val="pt-BR"/>
        </w:rPr>
        <w:t xml:space="preserve"> </w:t>
      </w:r>
      <w:r w:rsidR="00200C22">
        <w:rPr>
          <w:rFonts w:ascii="Garamond" w:hAnsi="Garamond"/>
          <w:spacing w:val="-3"/>
          <w:lang w:val="pt-BR"/>
        </w:rPr>
        <w:tab/>
      </w:r>
      <w:r w:rsidRPr="00200C22">
        <w:rPr>
          <w:rFonts w:ascii="Garamond" w:hAnsi="Garamond"/>
          <w:spacing w:val="-3"/>
          <w:lang w:val="pt-BR"/>
        </w:rPr>
        <w:t>Vale dizer, o art. 165 do CTN prevê a ação de repetição de indébito que tem como pressuposto inarredável o pagamento indevido.</w:t>
      </w:r>
    </w:p>
    <w:p w14:paraId="6CE1ADDE" w14:textId="77777777" w:rsidR="00EF4BB9" w:rsidRPr="00200C22" w:rsidRDefault="00EF4BB9" w:rsidP="00EF4BB9">
      <w:pPr>
        <w:spacing w:line="360" w:lineRule="auto"/>
        <w:jc w:val="both"/>
        <w:rPr>
          <w:rFonts w:ascii="Garamond" w:hAnsi="Garamond"/>
          <w:spacing w:val="-3"/>
          <w:lang w:val="pt-BR"/>
        </w:rPr>
      </w:pPr>
    </w:p>
    <w:p w14:paraId="28D7FFCE" w14:textId="77777777"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É o caso dos autos.</w:t>
      </w:r>
    </w:p>
    <w:p w14:paraId="017D59E1" w14:textId="77777777" w:rsidR="00EF4BB9" w:rsidRPr="00200C22" w:rsidRDefault="00EF4BB9" w:rsidP="00EF4BB9">
      <w:pPr>
        <w:spacing w:line="360" w:lineRule="auto"/>
        <w:jc w:val="both"/>
        <w:rPr>
          <w:rFonts w:ascii="Garamond" w:hAnsi="Garamond"/>
          <w:spacing w:val="-3"/>
          <w:lang w:val="pt-BR"/>
        </w:rPr>
      </w:pPr>
    </w:p>
    <w:p w14:paraId="40EDD0A0" w14:textId="1F8F014B" w:rsidR="00EF4BB9" w:rsidRPr="00200C22" w:rsidRDefault="00EF4BB9" w:rsidP="00EF4BB9">
      <w:pPr>
        <w:spacing w:line="360" w:lineRule="auto"/>
        <w:jc w:val="both"/>
        <w:rPr>
          <w:rFonts w:ascii="Garamond" w:hAnsi="Garamond"/>
          <w:spacing w:val="-3"/>
          <w:lang w:val="pt-BR"/>
        </w:rPr>
      </w:pPr>
      <w:r w:rsidRPr="00200C22">
        <w:rPr>
          <w:rFonts w:ascii="Garamond" w:hAnsi="Garamond"/>
          <w:spacing w:val="-3"/>
          <w:lang w:val="pt-BR"/>
        </w:rPr>
        <w:t xml:space="preserve"> </w:t>
      </w:r>
      <w:r w:rsidR="00200C22">
        <w:rPr>
          <w:rFonts w:ascii="Garamond" w:hAnsi="Garamond"/>
          <w:spacing w:val="-3"/>
          <w:lang w:val="pt-BR"/>
        </w:rPr>
        <w:tab/>
      </w:r>
      <w:r w:rsidRPr="00200C22">
        <w:rPr>
          <w:rFonts w:ascii="Garamond" w:hAnsi="Garamond"/>
          <w:spacing w:val="-3"/>
          <w:lang w:val="pt-BR"/>
        </w:rPr>
        <w:t xml:space="preserve">O “pagamento indevido”, para tanto, é vislumbrado pela comprovação de dois requisitos: </w:t>
      </w:r>
      <w:r w:rsidRPr="00200C22">
        <w:rPr>
          <w:rFonts w:ascii="Garamond" w:hAnsi="Garamond"/>
          <w:b/>
          <w:spacing w:val="-3"/>
          <w:lang w:val="pt-BR"/>
        </w:rPr>
        <w:t>(i)</w:t>
      </w:r>
      <w:r w:rsidRPr="00200C22">
        <w:rPr>
          <w:rFonts w:ascii="Garamond" w:hAnsi="Garamond"/>
          <w:spacing w:val="-3"/>
          <w:lang w:val="pt-BR"/>
        </w:rPr>
        <w:t xml:space="preserve"> inicialmente, deve-se demonstrar a existência do pagamento; </w:t>
      </w:r>
      <w:r w:rsidRPr="00200C22">
        <w:rPr>
          <w:rFonts w:ascii="Garamond" w:hAnsi="Garamond"/>
          <w:b/>
          <w:spacing w:val="-3"/>
          <w:lang w:val="pt-BR"/>
        </w:rPr>
        <w:t>(</w:t>
      </w:r>
      <w:proofErr w:type="spellStart"/>
      <w:r w:rsidRPr="00200C22">
        <w:rPr>
          <w:rFonts w:ascii="Garamond" w:hAnsi="Garamond"/>
          <w:b/>
          <w:spacing w:val="-3"/>
          <w:lang w:val="pt-BR"/>
        </w:rPr>
        <w:t>ii</w:t>
      </w:r>
      <w:proofErr w:type="spellEnd"/>
      <w:r w:rsidRPr="00200C22">
        <w:rPr>
          <w:rFonts w:ascii="Garamond" w:hAnsi="Garamond"/>
          <w:b/>
          <w:spacing w:val="-3"/>
          <w:lang w:val="pt-BR"/>
        </w:rPr>
        <w:t>)</w:t>
      </w:r>
      <w:r w:rsidRPr="00200C22">
        <w:rPr>
          <w:rFonts w:ascii="Garamond" w:hAnsi="Garamond"/>
          <w:spacing w:val="-3"/>
          <w:lang w:val="pt-BR"/>
        </w:rPr>
        <w:t xml:space="preserve"> restando preenchido o primeiro requisito, cumpre que esse pagamento </w:t>
      </w:r>
      <w:proofErr w:type="gramStart"/>
      <w:r w:rsidRPr="00200C22">
        <w:rPr>
          <w:rFonts w:ascii="Garamond" w:hAnsi="Garamond"/>
          <w:spacing w:val="-3"/>
          <w:lang w:val="pt-BR"/>
        </w:rPr>
        <w:t>qualifique-se</w:t>
      </w:r>
      <w:proofErr w:type="gramEnd"/>
      <w:r w:rsidRPr="00200C22">
        <w:rPr>
          <w:rFonts w:ascii="Garamond" w:hAnsi="Garamond"/>
          <w:spacing w:val="-3"/>
          <w:lang w:val="pt-BR"/>
        </w:rPr>
        <w:t xml:space="preserve"> como “indevido”, por reconhecimento judicial ou administrativo.</w:t>
      </w:r>
    </w:p>
    <w:p w14:paraId="7E695354" w14:textId="77777777" w:rsidR="00EF4BB9" w:rsidRPr="00200C22" w:rsidRDefault="00EF4BB9" w:rsidP="00EF4BB9">
      <w:pPr>
        <w:spacing w:line="360" w:lineRule="auto"/>
        <w:jc w:val="both"/>
        <w:rPr>
          <w:rFonts w:ascii="Garamond" w:hAnsi="Garamond"/>
          <w:spacing w:val="-3"/>
          <w:lang w:val="pt-BR"/>
        </w:rPr>
      </w:pPr>
    </w:p>
    <w:p w14:paraId="29AEB494" w14:textId="33A2539F" w:rsidR="00EF4BB9" w:rsidRPr="00200C22" w:rsidRDefault="00EF4BB9" w:rsidP="00EF4BB9">
      <w:pPr>
        <w:spacing w:line="360" w:lineRule="auto"/>
        <w:jc w:val="both"/>
        <w:rPr>
          <w:rFonts w:ascii="Garamond" w:hAnsi="Garamond"/>
          <w:spacing w:val="-3"/>
          <w:lang w:val="pt-BR"/>
        </w:rPr>
      </w:pPr>
      <w:r w:rsidRPr="00200C22">
        <w:rPr>
          <w:rFonts w:ascii="Garamond" w:hAnsi="Garamond"/>
          <w:spacing w:val="-3"/>
          <w:lang w:val="pt-BR"/>
        </w:rPr>
        <w:t xml:space="preserve"> </w:t>
      </w:r>
      <w:r w:rsidR="00200C22">
        <w:rPr>
          <w:rFonts w:ascii="Garamond" w:hAnsi="Garamond"/>
          <w:spacing w:val="-3"/>
          <w:lang w:val="pt-BR"/>
        </w:rPr>
        <w:tab/>
      </w:r>
      <w:r w:rsidRPr="00200C22">
        <w:rPr>
          <w:rFonts w:ascii="Garamond" w:hAnsi="Garamond"/>
          <w:spacing w:val="-3"/>
          <w:lang w:val="pt-BR"/>
        </w:rPr>
        <w:t>Bem por isso, tem a autora o direito à restituição dos tributos pagos indevidamente, havendo somente a necessidade de reconhecimento judicial por sentença condenatória.</w:t>
      </w:r>
    </w:p>
    <w:p w14:paraId="2E525D5F" w14:textId="77777777" w:rsidR="00EF4BB9" w:rsidRPr="00200C22" w:rsidRDefault="00EF4BB9" w:rsidP="00EF4BB9">
      <w:pPr>
        <w:spacing w:line="360" w:lineRule="auto"/>
        <w:jc w:val="both"/>
        <w:rPr>
          <w:rFonts w:ascii="Garamond" w:hAnsi="Garamond"/>
          <w:spacing w:val="-3"/>
          <w:lang w:val="pt-BR"/>
        </w:rPr>
      </w:pPr>
    </w:p>
    <w:p w14:paraId="28D4C38E" w14:textId="30005F4E" w:rsidR="00EF4BB9" w:rsidRPr="00200C22" w:rsidRDefault="00EF4BB9" w:rsidP="00EF4BB9">
      <w:pPr>
        <w:spacing w:line="360" w:lineRule="auto"/>
        <w:jc w:val="both"/>
        <w:rPr>
          <w:rFonts w:ascii="Garamond" w:hAnsi="Garamond"/>
          <w:spacing w:val="-3"/>
          <w:lang w:val="pt-BR"/>
        </w:rPr>
      </w:pPr>
      <w:r w:rsidRPr="00200C22">
        <w:rPr>
          <w:rFonts w:ascii="Garamond" w:hAnsi="Garamond"/>
          <w:spacing w:val="-3"/>
          <w:lang w:val="pt-BR"/>
        </w:rPr>
        <w:t xml:space="preserve"> </w:t>
      </w:r>
      <w:r w:rsidR="00200C22">
        <w:rPr>
          <w:rFonts w:ascii="Garamond" w:hAnsi="Garamond"/>
          <w:spacing w:val="-3"/>
          <w:lang w:val="pt-BR"/>
        </w:rPr>
        <w:tab/>
      </w:r>
      <w:r w:rsidRPr="00200C22">
        <w:rPr>
          <w:rFonts w:ascii="Garamond" w:hAnsi="Garamond"/>
          <w:spacing w:val="-3"/>
          <w:lang w:val="pt-BR"/>
        </w:rPr>
        <w:t xml:space="preserve">Nesse sentido, assevera Marcelo Fortes de Cerqueira: </w:t>
      </w:r>
    </w:p>
    <w:p w14:paraId="055EE15A" w14:textId="77777777" w:rsidR="00EF4BB9" w:rsidRPr="00200C22" w:rsidRDefault="00EF4BB9" w:rsidP="00EF4BB9">
      <w:pPr>
        <w:spacing w:line="360" w:lineRule="auto"/>
        <w:jc w:val="both"/>
        <w:rPr>
          <w:rFonts w:ascii="Garamond" w:hAnsi="Garamond"/>
          <w:spacing w:val="-3"/>
          <w:lang w:val="pt-BR"/>
        </w:rPr>
      </w:pPr>
    </w:p>
    <w:p w14:paraId="23F7E71B"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“O evento do pagamento indevido consiste no acontecimento no mundo físico correspondente à previsão abstrata contida no antecedente da normal geral e abstrata que disciplina o direito à repetição. No entanto, esse evento e a obrigação </w:t>
      </w:r>
      <w:proofErr w:type="spellStart"/>
      <w:r w:rsidRPr="00200C22">
        <w:rPr>
          <w:rFonts w:ascii="Garamond" w:hAnsi="Garamond"/>
          <w:iCs/>
          <w:spacing w:val="-3"/>
          <w:sz w:val="20"/>
          <w:szCs w:val="20"/>
          <w:lang w:val="pt-BR"/>
        </w:rPr>
        <w:t>efectual</w:t>
      </w:r>
      <w:proofErr w:type="spellEnd"/>
      <w:r w:rsidRPr="00200C22">
        <w:rPr>
          <w:rFonts w:ascii="Garamond" w:hAnsi="Garamond"/>
          <w:iCs/>
          <w:spacing w:val="-3"/>
          <w:sz w:val="20"/>
          <w:szCs w:val="20"/>
          <w:lang w:val="pt-BR"/>
        </w:rPr>
        <w:t xml:space="preserve"> de devolução não são, por si sós, suficientes para que o direito à repetição seja exercitado plenamente. Mister, para tanto, que o direito presente na obrigação </w:t>
      </w:r>
      <w:proofErr w:type="spellStart"/>
      <w:r w:rsidRPr="00200C22">
        <w:rPr>
          <w:rFonts w:ascii="Garamond" w:hAnsi="Garamond"/>
          <w:iCs/>
          <w:spacing w:val="-3"/>
          <w:sz w:val="20"/>
          <w:szCs w:val="20"/>
          <w:lang w:val="pt-BR"/>
        </w:rPr>
        <w:t>efectual</w:t>
      </w:r>
      <w:proofErr w:type="spellEnd"/>
      <w:r w:rsidRPr="00200C22">
        <w:rPr>
          <w:rFonts w:ascii="Garamond" w:hAnsi="Garamond"/>
          <w:iCs/>
          <w:spacing w:val="-3"/>
          <w:sz w:val="20"/>
          <w:szCs w:val="20"/>
          <w:lang w:val="pt-BR"/>
        </w:rPr>
        <w:t xml:space="preserve"> de devolução seja reconhecido administrativa ou judicialmente.”  </w:t>
      </w:r>
    </w:p>
    <w:p w14:paraId="7869AD21" w14:textId="77777777" w:rsidR="00EF4BB9" w:rsidRPr="00200C22" w:rsidRDefault="00EF4BB9" w:rsidP="00EF4BB9">
      <w:pPr>
        <w:spacing w:line="360" w:lineRule="auto"/>
        <w:jc w:val="both"/>
        <w:rPr>
          <w:rFonts w:ascii="Garamond" w:hAnsi="Garamond"/>
          <w:spacing w:val="-3"/>
          <w:lang w:val="pt-BR"/>
        </w:rPr>
      </w:pPr>
    </w:p>
    <w:p w14:paraId="0923BF48" w14:textId="77777777" w:rsidR="00EF4BB9" w:rsidRPr="00200C22" w:rsidRDefault="00EF4BB9" w:rsidP="00EF4BB9">
      <w:pPr>
        <w:spacing w:line="360" w:lineRule="auto"/>
        <w:jc w:val="both"/>
        <w:rPr>
          <w:rFonts w:ascii="Garamond" w:hAnsi="Garamond"/>
          <w:spacing w:val="-3"/>
          <w:lang w:val="pt-BR"/>
        </w:rPr>
      </w:pPr>
    </w:p>
    <w:p w14:paraId="3B6DDD09" w14:textId="52B8C01D" w:rsidR="00EF4BB9" w:rsidRPr="00200C22" w:rsidRDefault="00EF4BB9" w:rsidP="00200C22">
      <w:pPr>
        <w:spacing w:line="360" w:lineRule="auto"/>
        <w:ind w:firstLine="708"/>
        <w:jc w:val="both"/>
        <w:rPr>
          <w:rFonts w:ascii="Garamond" w:hAnsi="Garamond"/>
          <w:spacing w:val="-3"/>
          <w:lang w:val="pt-BR"/>
        </w:rPr>
      </w:pPr>
      <w:r w:rsidRPr="00200C22">
        <w:rPr>
          <w:rFonts w:ascii="Garamond" w:hAnsi="Garamond"/>
          <w:spacing w:val="-3"/>
          <w:lang w:val="pt-BR"/>
        </w:rPr>
        <w:t>Essa questão, aliás, também foi referida pelo Professor Paulo de Barros Carvalho:</w:t>
      </w:r>
    </w:p>
    <w:p w14:paraId="00C57EBC" w14:textId="77777777" w:rsidR="00EF4BB9" w:rsidRPr="00200C22" w:rsidRDefault="00EF4BB9" w:rsidP="00EF4BB9">
      <w:pPr>
        <w:spacing w:line="360" w:lineRule="auto"/>
        <w:jc w:val="both"/>
        <w:rPr>
          <w:rFonts w:ascii="Garamond" w:hAnsi="Garamond"/>
          <w:spacing w:val="-3"/>
          <w:lang w:val="pt-BR"/>
        </w:rPr>
      </w:pPr>
    </w:p>
    <w:p w14:paraId="339BAB52" w14:textId="77777777" w:rsidR="00EF4BB9" w:rsidRPr="00200C22" w:rsidRDefault="00EF4BB9" w:rsidP="00200C22">
      <w:pPr>
        <w:ind w:left="4248"/>
        <w:jc w:val="both"/>
        <w:rPr>
          <w:rFonts w:ascii="Garamond" w:hAnsi="Garamond"/>
          <w:iCs/>
          <w:spacing w:val="-3"/>
          <w:sz w:val="20"/>
          <w:szCs w:val="20"/>
          <w:lang w:val="pt-BR"/>
        </w:rPr>
      </w:pPr>
      <w:r w:rsidRPr="00200C22">
        <w:rPr>
          <w:rFonts w:ascii="Garamond" w:hAnsi="Garamond"/>
          <w:iCs/>
          <w:spacing w:val="-3"/>
          <w:sz w:val="20"/>
          <w:szCs w:val="20"/>
          <w:lang w:val="pt-BR"/>
        </w:rPr>
        <w:t xml:space="preserve">“A importância recolhida a título de tributo pode ser indevida, tanto por exceder ao montante da dívida real quanto por inexistir dever jurídico de índole tributária. Surge, então, a controvertida figura do tributo indevido, que muitos entendem não ser verdadeiramente tributo, correspondendo antes a mera prestação de fato. Não pensamos assim. As quantias exigidas pelo Estado, no exercício de sua função impositiva, ou espontaneamente pagas pelo administrado, na convicção de solver um débito fiscal, têm a fisionomia própria das entidades tributárias, encaixando-se bem na definição do art. 3º, do </w:t>
      </w:r>
      <w:r w:rsidRPr="00200C22">
        <w:rPr>
          <w:rFonts w:ascii="Garamond" w:hAnsi="Garamond"/>
          <w:iCs/>
          <w:spacing w:val="-3"/>
          <w:sz w:val="20"/>
          <w:szCs w:val="20"/>
          <w:lang w:val="pt-BR"/>
        </w:rPr>
        <w:lastRenderedPageBreak/>
        <w:t>Código Tributário Nacional. A contingência de virem a ser devolvidas pelo Poder Público não as descaracteriza como tributo e para isso é que existem os sucessivos controles de legalidade de que a Administração exerce e dos quais participa o sujeito passivo, tomando a iniciativa ao supor descabido o montante cobrado, ou postulando a devolução daquilo que pagara indebitamente (Paulo de Barros Carvalho, Curso de Direito Tributário, 8 ed. Saraiva, São Paulo, p. 307/308).</w:t>
      </w:r>
    </w:p>
    <w:p w14:paraId="76082508" w14:textId="77777777" w:rsidR="00EF4BB9" w:rsidRPr="00200C22" w:rsidRDefault="00EF4BB9" w:rsidP="00EF4BB9">
      <w:pPr>
        <w:spacing w:line="360" w:lineRule="auto"/>
        <w:jc w:val="both"/>
        <w:rPr>
          <w:rFonts w:ascii="Garamond" w:hAnsi="Garamond"/>
          <w:spacing w:val="-3"/>
          <w:lang w:val="pt-BR"/>
        </w:rPr>
      </w:pPr>
    </w:p>
    <w:p w14:paraId="31818ABF" w14:textId="77777777" w:rsidR="00EF4BB9" w:rsidRPr="00200C22" w:rsidRDefault="00EF4BB9" w:rsidP="00EF4BB9">
      <w:pPr>
        <w:spacing w:line="360" w:lineRule="auto"/>
        <w:jc w:val="both"/>
        <w:rPr>
          <w:rFonts w:ascii="Garamond" w:hAnsi="Garamond"/>
          <w:spacing w:val="-3"/>
          <w:lang w:val="pt-BR"/>
        </w:rPr>
      </w:pPr>
    </w:p>
    <w:p w14:paraId="51B493BB" w14:textId="440D4C40"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spacing w:val="-3"/>
          <w:lang w:val="pt-BR"/>
        </w:rPr>
        <w:t>No caso em tela, conforme demonstrado alhures, patente que houve o recolhimento indevido. Referida quantia a ser repetida outorgará à autora um crédito perante o Estado de Goiás.</w:t>
      </w:r>
    </w:p>
    <w:p w14:paraId="17945EAD" w14:textId="77777777" w:rsidR="00EF4BB9" w:rsidRPr="00200C22" w:rsidRDefault="00EF4BB9" w:rsidP="00EF4BB9">
      <w:pPr>
        <w:spacing w:line="360" w:lineRule="auto"/>
        <w:jc w:val="both"/>
        <w:rPr>
          <w:rFonts w:ascii="Garamond" w:hAnsi="Garamond"/>
          <w:spacing w:val="-3"/>
          <w:lang w:val="pt-BR"/>
        </w:rPr>
      </w:pPr>
    </w:p>
    <w:p w14:paraId="3200E259" w14:textId="167ACD54"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spacing w:val="-3"/>
          <w:lang w:val="pt-BR"/>
        </w:rPr>
        <w:t>Alternativamente à constituição de um precatório, cabível a compensação do crédito mediante o lançamento deste na conta gráfica de ICMS da contribuinte, uma vez que esta está enquadrada no Regime Período de Apuração do imposto, sendo a compensação o caminho juridicamente mais justo, observados as garantias constitucionais e infraconstitucionais.</w:t>
      </w:r>
    </w:p>
    <w:p w14:paraId="66F83F74" w14:textId="77777777" w:rsidR="00EF4BB9" w:rsidRPr="00200C22" w:rsidRDefault="00EF4BB9" w:rsidP="00EF4BB9">
      <w:pPr>
        <w:spacing w:line="360" w:lineRule="auto"/>
        <w:jc w:val="both"/>
        <w:rPr>
          <w:rFonts w:ascii="Garamond" w:hAnsi="Garamond"/>
          <w:spacing w:val="-3"/>
          <w:lang w:val="pt-BR"/>
        </w:rPr>
      </w:pPr>
    </w:p>
    <w:p w14:paraId="5CA73E26" w14:textId="5FCCAFF4"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spacing w:val="-3"/>
          <w:lang w:val="pt-BR"/>
        </w:rPr>
        <w:t>Nesse sentido é o teor da Súmula n.º 461 do Superior Tribunal de Justiça:</w:t>
      </w:r>
    </w:p>
    <w:p w14:paraId="17081F0F" w14:textId="77777777" w:rsidR="00EF4BB9" w:rsidRPr="00200C22" w:rsidRDefault="00EF4BB9" w:rsidP="00EF4BB9">
      <w:pPr>
        <w:spacing w:line="360" w:lineRule="auto"/>
        <w:jc w:val="both"/>
        <w:rPr>
          <w:rFonts w:ascii="Garamond" w:hAnsi="Garamond"/>
          <w:spacing w:val="-3"/>
          <w:lang w:val="pt-BR"/>
        </w:rPr>
      </w:pPr>
    </w:p>
    <w:p w14:paraId="2D9C4177" w14:textId="77777777" w:rsidR="00EF4BB9" w:rsidRPr="0001387D" w:rsidRDefault="00EF4BB9" w:rsidP="0001387D">
      <w:pPr>
        <w:ind w:left="4248"/>
        <w:jc w:val="both"/>
        <w:rPr>
          <w:rFonts w:ascii="Garamond" w:hAnsi="Garamond"/>
          <w:iCs/>
          <w:spacing w:val="-3"/>
          <w:sz w:val="20"/>
          <w:szCs w:val="20"/>
          <w:lang w:val="pt-BR"/>
        </w:rPr>
      </w:pPr>
      <w:r w:rsidRPr="0001387D">
        <w:rPr>
          <w:rFonts w:ascii="Garamond" w:hAnsi="Garamond"/>
          <w:iCs/>
          <w:spacing w:val="-3"/>
          <w:sz w:val="20"/>
          <w:szCs w:val="20"/>
          <w:lang w:val="pt-BR"/>
        </w:rPr>
        <w:t xml:space="preserve">“Súmula n.º 461 – O contribuinte pode optar por receber, por meio de precatório ou por compensação, o indébito tributário certificado por sentença declaratória transitada em julgado.” </w:t>
      </w:r>
    </w:p>
    <w:p w14:paraId="5E8842DA" w14:textId="77777777" w:rsidR="00EF4BB9" w:rsidRPr="00200C22" w:rsidRDefault="00EF4BB9" w:rsidP="00EF4BB9">
      <w:pPr>
        <w:spacing w:line="360" w:lineRule="auto"/>
        <w:jc w:val="both"/>
        <w:rPr>
          <w:rFonts w:ascii="Garamond" w:hAnsi="Garamond"/>
          <w:spacing w:val="-3"/>
          <w:lang w:val="pt-BR"/>
        </w:rPr>
      </w:pPr>
    </w:p>
    <w:p w14:paraId="2C79901F" w14:textId="2E1471BB" w:rsidR="00EF4BB9" w:rsidRPr="00200C22" w:rsidRDefault="00EF4BB9" w:rsidP="00EF4BB9">
      <w:pPr>
        <w:spacing w:line="360" w:lineRule="auto"/>
        <w:jc w:val="both"/>
        <w:rPr>
          <w:rFonts w:ascii="Garamond" w:hAnsi="Garamond"/>
          <w:spacing w:val="-3"/>
          <w:lang w:val="pt-BR"/>
        </w:rPr>
      </w:pPr>
      <w:r w:rsidRPr="00200C22">
        <w:rPr>
          <w:rFonts w:ascii="Garamond" w:hAnsi="Garamond"/>
          <w:spacing w:val="-3"/>
          <w:lang w:val="pt-BR"/>
        </w:rPr>
        <w:tab/>
        <w:t>Os artigos 170 e 170-A do CTN são claros em autorizarem a compensação de créditos tributários com créditos líquidos e certos, vencidos ou vincendos, contra a Fazenda Pública, ainda que constituído por medida judicial:</w:t>
      </w:r>
    </w:p>
    <w:p w14:paraId="4E9AB074" w14:textId="77777777" w:rsidR="00EF4BB9" w:rsidRPr="00200C22" w:rsidRDefault="00EF4BB9" w:rsidP="00EF4BB9">
      <w:pPr>
        <w:spacing w:line="360" w:lineRule="auto"/>
        <w:jc w:val="both"/>
        <w:rPr>
          <w:rFonts w:ascii="Garamond" w:hAnsi="Garamond"/>
          <w:spacing w:val="-3"/>
          <w:lang w:val="pt-BR"/>
        </w:rPr>
      </w:pPr>
    </w:p>
    <w:p w14:paraId="1F703F04" w14:textId="77777777" w:rsidR="00EF4BB9" w:rsidRPr="0001387D" w:rsidRDefault="00EF4BB9" w:rsidP="0001387D">
      <w:pPr>
        <w:ind w:left="4248"/>
        <w:jc w:val="both"/>
        <w:rPr>
          <w:rFonts w:ascii="Garamond" w:hAnsi="Garamond"/>
          <w:iCs/>
          <w:spacing w:val="-3"/>
          <w:sz w:val="20"/>
          <w:szCs w:val="20"/>
          <w:lang w:val="pt-BR"/>
        </w:rPr>
      </w:pPr>
      <w:r w:rsidRPr="0001387D">
        <w:rPr>
          <w:rFonts w:ascii="Garamond" w:hAnsi="Garamond"/>
          <w:iCs/>
          <w:spacing w:val="-3"/>
          <w:sz w:val="20"/>
          <w:szCs w:val="20"/>
          <w:lang w:val="pt-BR"/>
        </w:rPr>
        <w:t>“Art. 170. A lei pode, nas condições e sob as garantias que estipular, ou cuja estipulação em cada caso atribuir à autoridade administrativa, autorizar a compensação de créditos tributários com créditos líquidos e certos, vencidos ou vincendos, do sujeito passivo contra a Fazenda pública.</w:t>
      </w:r>
    </w:p>
    <w:p w14:paraId="302E2D02" w14:textId="77777777" w:rsidR="00EF4BB9" w:rsidRPr="0001387D" w:rsidRDefault="00EF4BB9" w:rsidP="0001387D">
      <w:pPr>
        <w:ind w:left="4248"/>
        <w:jc w:val="both"/>
        <w:rPr>
          <w:rFonts w:ascii="Garamond" w:hAnsi="Garamond"/>
          <w:iCs/>
          <w:spacing w:val="-3"/>
          <w:sz w:val="20"/>
          <w:szCs w:val="20"/>
          <w:lang w:val="pt-BR"/>
        </w:rPr>
      </w:pPr>
      <w:r w:rsidRPr="0001387D">
        <w:rPr>
          <w:rFonts w:ascii="Garamond" w:hAnsi="Garamond"/>
          <w:iCs/>
          <w:spacing w:val="-3"/>
          <w:sz w:val="20"/>
          <w:szCs w:val="20"/>
          <w:lang w:val="pt-BR"/>
        </w:rPr>
        <w:t>Parágrafo único. Sendo vincendo o crédito do sujeito passivo, a lei determinará, para os efeitos deste artigo, a apuração do seu montante, não podendo, porém, cominar redução maior que a correspondente ao juro de 1% (um por cento) ao mês pelo tempo a decorrer entre a data da compensação e a do vencimento.</w:t>
      </w:r>
    </w:p>
    <w:p w14:paraId="7681742C" w14:textId="77777777" w:rsidR="00EF4BB9" w:rsidRPr="0001387D" w:rsidRDefault="00EF4BB9" w:rsidP="0001387D">
      <w:pPr>
        <w:ind w:left="4248"/>
        <w:jc w:val="both"/>
        <w:rPr>
          <w:rFonts w:ascii="Garamond" w:hAnsi="Garamond"/>
          <w:iCs/>
          <w:spacing w:val="-3"/>
          <w:sz w:val="20"/>
          <w:szCs w:val="20"/>
          <w:lang w:val="pt-BR"/>
        </w:rPr>
      </w:pPr>
      <w:r w:rsidRPr="0001387D">
        <w:rPr>
          <w:rFonts w:ascii="Garamond" w:hAnsi="Garamond"/>
          <w:iCs/>
          <w:spacing w:val="-3"/>
          <w:sz w:val="20"/>
          <w:szCs w:val="20"/>
          <w:lang w:val="pt-BR"/>
        </w:rPr>
        <w:t>(...)</w:t>
      </w:r>
    </w:p>
    <w:p w14:paraId="5F52C301" w14:textId="77777777" w:rsidR="00EF4BB9" w:rsidRPr="00200C22" w:rsidRDefault="00EF4BB9" w:rsidP="0001387D">
      <w:pPr>
        <w:ind w:left="4248"/>
        <w:jc w:val="both"/>
        <w:rPr>
          <w:rFonts w:ascii="Garamond" w:hAnsi="Garamond"/>
          <w:i/>
          <w:spacing w:val="-3"/>
          <w:lang w:val="pt-BR"/>
        </w:rPr>
      </w:pPr>
      <w:r w:rsidRPr="0001387D">
        <w:rPr>
          <w:rFonts w:ascii="Garamond" w:hAnsi="Garamond"/>
          <w:iCs/>
          <w:spacing w:val="-3"/>
          <w:sz w:val="20"/>
          <w:szCs w:val="20"/>
          <w:lang w:val="pt-BR"/>
        </w:rPr>
        <w:t xml:space="preserve">Art. 170-A. É vedada a compensação mediante o aproveitamento de tributo, objeto de contestação judicial </w:t>
      </w:r>
      <w:r w:rsidRPr="0001387D">
        <w:rPr>
          <w:rFonts w:ascii="Garamond" w:hAnsi="Garamond"/>
          <w:iCs/>
          <w:spacing w:val="-3"/>
          <w:sz w:val="20"/>
          <w:szCs w:val="20"/>
          <w:lang w:val="pt-BR"/>
        </w:rPr>
        <w:lastRenderedPageBreak/>
        <w:t>pelo sujeito passivo, antes do trânsito em julgado da respectiva decisão judicial.”</w:t>
      </w:r>
    </w:p>
    <w:p w14:paraId="050FE37F" w14:textId="77777777" w:rsidR="00EF4BB9" w:rsidRPr="00200C22" w:rsidRDefault="00EF4BB9" w:rsidP="00EF4BB9">
      <w:pPr>
        <w:spacing w:line="360" w:lineRule="auto"/>
        <w:jc w:val="both"/>
        <w:rPr>
          <w:rFonts w:ascii="Garamond" w:hAnsi="Garamond"/>
          <w:spacing w:val="-3"/>
          <w:lang w:val="pt-BR"/>
        </w:rPr>
      </w:pPr>
    </w:p>
    <w:p w14:paraId="4D97225A" w14:textId="77777777" w:rsidR="00EF4BB9" w:rsidRPr="00200C22" w:rsidRDefault="00EF4BB9" w:rsidP="00EF4BB9">
      <w:pPr>
        <w:spacing w:line="360" w:lineRule="auto"/>
        <w:jc w:val="both"/>
        <w:rPr>
          <w:rFonts w:ascii="Garamond" w:hAnsi="Garamond"/>
          <w:spacing w:val="-3"/>
          <w:lang w:val="pt-BR"/>
        </w:rPr>
      </w:pPr>
    </w:p>
    <w:p w14:paraId="3A0DBEC5" w14:textId="2E9E3E83"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spacing w:val="-3"/>
          <w:lang w:val="pt-BR"/>
        </w:rPr>
        <w:t xml:space="preserve">Ante o exposto, patente o direito da autora de reaver os valores recolhidos indevidamente, nos termos da jurisprudência firmada pelos Tribunais Superiores, bem como, face a atividade exercida pela autora, </w:t>
      </w:r>
      <w:r w:rsidRPr="00200C22">
        <w:rPr>
          <w:rFonts w:ascii="Garamond" w:hAnsi="Garamond"/>
          <w:b/>
          <w:spacing w:val="-3"/>
          <w:lang w:val="pt-BR"/>
        </w:rPr>
        <w:t>alternativamente</w:t>
      </w:r>
      <w:r w:rsidRPr="00200C22">
        <w:rPr>
          <w:rFonts w:ascii="Garamond" w:hAnsi="Garamond"/>
          <w:spacing w:val="-3"/>
          <w:lang w:val="pt-BR"/>
        </w:rPr>
        <w:t>, seja autorizado a compensação do valor em crédito a ser lançado na conta gráfica de ICMS da empresa, quando do trânsito em julgado.</w:t>
      </w:r>
    </w:p>
    <w:p w14:paraId="3C5C70DF" w14:textId="77777777" w:rsidR="00EF4BB9" w:rsidRPr="00200C22" w:rsidRDefault="00EF4BB9" w:rsidP="00EF4BB9">
      <w:pPr>
        <w:spacing w:line="360" w:lineRule="auto"/>
        <w:jc w:val="both"/>
        <w:rPr>
          <w:rFonts w:ascii="Garamond" w:hAnsi="Garamond"/>
          <w:spacing w:val="-3"/>
          <w:lang w:val="pt-BR"/>
        </w:rPr>
      </w:pPr>
    </w:p>
    <w:p w14:paraId="69737378" w14:textId="77777777" w:rsidR="0001387D" w:rsidRDefault="00EF4BB9" w:rsidP="00EF4BB9">
      <w:pPr>
        <w:pStyle w:val="Corpodetexto2"/>
        <w:widowControl w:val="0"/>
        <w:tabs>
          <w:tab w:val="left" w:pos="2800"/>
        </w:tabs>
        <w:spacing w:line="360" w:lineRule="auto"/>
        <w:rPr>
          <w:rFonts w:ascii="Garamond" w:hAnsi="Garamond"/>
          <w:b/>
          <w:szCs w:val="24"/>
        </w:rPr>
      </w:pPr>
      <w:r w:rsidRPr="00200C22">
        <w:rPr>
          <w:rFonts w:ascii="Garamond" w:hAnsi="Garamond"/>
          <w:b/>
          <w:szCs w:val="24"/>
        </w:rPr>
        <w:t>4. DA ANTECIPAÇÃO DA TUTELA JUDICIAL</w:t>
      </w:r>
    </w:p>
    <w:p w14:paraId="60F917C6" w14:textId="77777777" w:rsidR="0001387D" w:rsidRDefault="0001387D" w:rsidP="00EF4BB9">
      <w:pPr>
        <w:pStyle w:val="Corpodetexto2"/>
        <w:widowControl w:val="0"/>
        <w:tabs>
          <w:tab w:val="left" w:pos="2800"/>
        </w:tabs>
        <w:spacing w:line="360" w:lineRule="auto"/>
        <w:rPr>
          <w:rFonts w:ascii="Garamond" w:hAnsi="Garamond"/>
          <w:b/>
          <w:szCs w:val="24"/>
        </w:rPr>
      </w:pPr>
    </w:p>
    <w:p w14:paraId="208865A8" w14:textId="7F3E70D3" w:rsidR="00EF4BB9" w:rsidRPr="0001387D" w:rsidRDefault="00EF4BB9" w:rsidP="00EF4BB9">
      <w:pPr>
        <w:pStyle w:val="Corpodetexto2"/>
        <w:widowControl w:val="0"/>
        <w:tabs>
          <w:tab w:val="left" w:pos="2800"/>
        </w:tabs>
        <w:spacing w:line="360" w:lineRule="auto"/>
        <w:rPr>
          <w:rFonts w:ascii="Garamond" w:hAnsi="Garamond"/>
          <w:b/>
          <w:szCs w:val="24"/>
        </w:rPr>
      </w:pPr>
      <w:r w:rsidRPr="00200C22">
        <w:rPr>
          <w:rFonts w:ascii="Garamond" w:hAnsi="Garamond"/>
          <w:szCs w:val="24"/>
        </w:rPr>
        <w:t>Superada a apresentação dos fatos e do direito que ampara a pretensão da altura, cumpre demonstrar a existência dos requisitos autorizadores da concessão da tutela de urgência.</w:t>
      </w:r>
    </w:p>
    <w:p w14:paraId="2BB0A810" w14:textId="77777777" w:rsidR="00EF4BB9" w:rsidRPr="00200C22" w:rsidRDefault="00EF4BB9" w:rsidP="00EF4BB9">
      <w:pPr>
        <w:pStyle w:val="Corpodetexto2"/>
        <w:widowControl w:val="0"/>
        <w:tabs>
          <w:tab w:val="left" w:pos="2800"/>
        </w:tabs>
        <w:spacing w:line="360" w:lineRule="auto"/>
        <w:rPr>
          <w:rFonts w:ascii="Garamond" w:hAnsi="Garamond"/>
          <w:szCs w:val="24"/>
        </w:rPr>
      </w:pPr>
    </w:p>
    <w:p w14:paraId="332C32F9" w14:textId="2B0893D2" w:rsidR="00EF4BB9" w:rsidRPr="00200C22" w:rsidRDefault="00EF4BB9" w:rsidP="0001387D">
      <w:pPr>
        <w:pStyle w:val="Corpodetexto2"/>
        <w:widowControl w:val="0"/>
        <w:tabs>
          <w:tab w:val="left" w:pos="2800"/>
        </w:tabs>
        <w:spacing w:line="360" w:lineRule="auto"/>
        <w:rPr>
          <w:rFonts w:ascii="Garamond" w:hAnsi="Garamond"/>
          <w:szCs w:val="24"/>
        </w:rPr>
      </w:pPr>
      <w:r w:rsidRPr="00200C22">
        <w:rPr>
          <w:rFonts w:ascii="Garamond" w:hAnsi="Garamond"/>
          <w:szCs w:val="24"/>
        </w:rPr>
        <w:t xml:space="preserve">Pois bem. Segundo se afere do artigo 300, do Código de Processo Civil, são requisitos para a concessão da tutela judicial de urgência: </w:t>
      </w:r>
      <w:r w:rsidRPr="00200C22">
        <w:rPr>
          <w:rFonts w:ascii="Garamond" w:hAnsi="Garamond"/>
          <w:b/>
          <w:szCs w:val="24"/>
        </w:rPr>
        <w:t>(i)</w:t>
      </w:r>
      <w:r w:rsidRPr="00200C22">
        <w:rPr>
          <w:rFonts w:ascii="Garamond" w:hAnsi="Garamond"/>
          <w:szCs w:val="24"/>
        </w:rPr>
        <w:t xml:space="preserve"> a existência de elementos que evidenciem a probabilidade do direito; </w:t>
      </w:r>
      <w:r w:rsidRPr="00200C22">
        <w:rPr>
          <w:rFonts w:ascii="Garamond" w:hAnsi="Garamond"/>
          <w:b/>
          <w:szCs w:val="24"/>
        </w:rPr>
        <w:t>(</w:t>
      </w:r>
      <w:proofErr w:type="spellStart"/>
      <w:r w:rsidRPr="00200C22">
        <w:rPr>
          <w:rFonts w:ascii="Garamond" w:hAnsi="Garamond"/>
          <w:b/>
          <w:szCs w:val="24"/>
        </w:rPr>
        <w:t>ii</w:t>
      </w:r>
      <w:proofErr w:type="spellEnd"/>
      <w:r w:rsidRPr="00200C22">
        <w:rPr>
          <w:rFonts w:ascii="Garamond" w:hAnsi="Garamond"/>
          <w:b/>
          <w:szCs w:val="24"/>
        </w:rPr>
        <w:t>)</w:t>
      </w:r>
      <w:r w:rsidRPr="00200C22">
        <w:rPr>
          <w:rFonts w:ascii="Garamond" w:hAnsi="Garamond"/>
          <w:szCs w:val="24"/>
        </w:rPr>
        <w:t xml:space="preserve"> o perigo de dano.</w:t>
      </w:r>
    </w:p>
    <w:p w14:paraId="4F25829F" w14:textId="77777777" w:rsidR="0001387D" w:rsidRDefault="0001387D" w:rsidP="00EF4BB9">
      <w:pPr>
        <w:pStyle w:val="Corpodetexto2"/>
        <w:widowControl w:val="0"/>
        <w:tabs>
          <w:tab w:val="left" w:pos="2800"/>
        </w:tabs>
        <w:spacing w:line="360" w:lineRule="auto"/>
        <w:rPr>
          <w:rFonts w:ascii="Garamond" w:hAnsi="Garamond"/>
          <w:szCs w:val="24"/>
        </w:rPr>
      </w:pPr>
    </w:p>
    <w:p w14:paraId="092DF02D" w14:textId="1571F089" w:rsidR="00EF4BB9" w:rsidRPr="00200C22" w:rsidRDefault="00EF4BB9" w:rsidP="00EF4BB9">
      <w:pPr>
        <w:pStyle w:val="Corpodetexto2"/>
        <w:widowControl w:val="0"/>
        <w:tabs>
          <w:tab w:val="left" w:pos="2800"/>
        </w:tabs>
        <w:spacing w:line="360" w:lineRule="auto"/>
        <w:rPr>
          <w:rFonts w:ascii="Garamond" w:hAnsi="Garamond"/>
          <w:szCs w:val="24"/>
        </w:rPr>
      </w:pPr>
      <w:r w:rsidRPr="00200C22">
        <w:rPr>
          <w:rFonts w:ascii="Garamond" w:hAnsi="Garamond"/>
          <w:szCs w:val="24"/>
        </w:rPr>
        <w:t>A probabilidade do direito se assenta nas diversas decisões dos Tribunais Superiores, acima colacionadas, no sentido de que a TUST e TUST devem ser excluídas da base de cálculo do ICMS incidente sobre a energia elétrica consumida pelo contribuinte.</w:t>
      </w:r>
    </w:p>
    <w:p w14:paraId="3DEF31CB" w14:textId="77777777" w:rsidR="0001387D" w:rsidRDefault="0001387D" w:rsidP="00EF4BB9">
      <w:pPr>
        <w:pStyle w:val="Corpodetexto2"/>
        <w:widowControl w:val="0"/>
        <w:tabs>
          <w:tab w:val="left" w:pos="2800"/>
        </w:tabs>
        <w:spacing w:line="360" w:lineRule="auto"/>
        <w:rPr>
          <w:rFonts w:ascii="Garamond" w:hAnsi="Garamond"/>
          <w:szCs w:val="24"/>
        </w:rPr>
      </w:pPr>
    </w:p>
    <w:p w14:paraId="0346CD33" w14:textId="2C7C7708" w:rsidR="00EF4BB9" w:rsidRPr="00200C22" w:rsidRDefault="00EF4BB9" w:rsidP="00EF4BB9">
      <w:pPr>
        <w:pStyle w:val="Corpodetexto2"/>
        <w:widowControl w:val="0"/>
        <w:tabs>
          <w:tab w:val="left" w:pos="2800"/>
        </w:tabs>
        <w:spacing w:line="360" w:lineRule="auto"/>
        <w:rPr>
          <w:rFonts w:ascii="Garamond" w:hAnsi="Garamond"/>
          <w:szCs w:val="24"/>
        </w:rPr>
      </w:pPr>
      <w:r w:rsidRPr="00200C22">
        <w:rPr>
          <w:rFonts w:ascii="Garamond" w:hAnsi="Garamond"/>
          <w:szCs w:val="24"/>
        </w:rPr>
        <w:t>Por sua vez, o perigo de dano é ainda mais patente. Ora, se a exigibilidade do pretenso crédito tributário não for suspensa, o patrimônio da autora continuará a ser constrito e expropriado indevidamente.</w:t>
      </w:r>
    </w:p>
    <w:p w14:paraId="4E3ACC6F" w14:textId="77777777" w:rsidR="00EF4BB9" w:rsidRPr="00200C22" w:rsidRDefault="00EF4BB9" w:rsidP="00EF4BB9">
      <w:pPr>
        <w:pStyle w:val="Corpodetexto2"/>
        <w:widowControl w:val="0"/>
        <w:tabs>
          <w:tab w:val="left" w:pos="2800"/>
        </w:tabs>
        <w:spacing w:line="360" w:lineRule="auto"/>
        <w:rPr>
          <w:rFonts w:ascii="Garamond" w:hAnsi="Garamond"/>
          <w:szCs w:val="24"/>
        </w:rPr>
      </w:pPr>
    </w:p>
    <w:p w14:paraId="40C18CED" w14:textId="2A95B2E0" w:rsidR="00EF4BB9" w:rsidRPr="00200C22" w:rsidRDefault="00EF4BB9" w:rsidP="00EF4BB9">
      <w:pPr>
        <w:pStyle w:val="Corpodetexto2"/>
        <w:widowControl w:val="0"/>
        <w:tabs>
          <w:tab w:val="left" w:pos="2800"/>
        </w:tabs>
        <w:spacing w:line="360" w:lineRule="auto"/>
        <w:rPr>
          <w:rFonts w:ascii="Garamond" w:hAnsi="Garamond"/>
          <w:szCs w:val="24"/>
        </w:rPr>
      </w:pPr>
      <w:r w:rsidRPr="00200C22">
        <w:rPr>
          <w:rFonts w:ascii="Garamond" w:hAnsi="Garamond"/>
          <w:szCs w:val="24"/>
        </w:rPr>
        <w:t>E, na hipótese de sair vencedora no presente pleito, terá que se sujeitar às intermináveis e atrasadas filas dos precatórios judiciais. Ora, Nobre Julgador, está mais do que patente a necessidade da concessão tutela de urgência.</w:t>
      </w:r>
    </w:p>
    <w:p w14:paraId="5C483F55" w14:textId="77777777" w:rsidR="00EF4BB9" w:rsidRPr="00200C22" w:rsidRDefault="00EF4BB9" w:rsidP="00EF4BB9">
      <w:pPr>
        <w:pStyle w:val="Corpodetexto2"/>
        <w:widowControl w:val="0"/>
        <w:tabs>
          <w:tab w:val="left" w:pos="2800"/>
        </w:tabs>
        <w:spacing w:line="360" w:lineRule="auto"/>
        <w:rPr>
          <w:rFonts w:ascii="Garamond" w:hAnsi="Garamond"/>
          <w:szCs w:val="24"/>
        </w:rPr>
      </w:pPr>
    </w:p>
    <w:p w14:paraId="5AB2748C" w14:textId="77777777" w:rsidR="00EF4BB9" w:rsidRPr="00200C22" w:rsidRDefault="00EF4BB9" w:rsidP="0001387D">
      <w:pPr>
        <w:pStyle w:val="Citao"/>
        <w:widowControl w:val="0"/>
        <w:tabs>
          <w:tab w:val="clear" w:pos="3969"/>
          <w:tab w:val="left" w:pos="3686"/>
        </w:tabs>
        <w:spacing w:before="0" w:after="0" w:line="360" w:lineRule="auto"/>
        <w:ind w:left="0" w:right="0"/>
        <w:rPr>
          <w:rFonts w:ascii="Garamond" w:hAnsi="Garamond"/>
          <w:i w:val="0"/>
          <w:iCs/>
          <w:sz w:val="24"/>
          <w:szCs w:val="24"/>
        </w:rPr>
      </w:pPr>
      <w:r w:rsidRPr="00200C22">
        <w:rPr>
          <w:rFonts w:ascii="Garamond" w:hAnsi="Garamond"/>
          <w:i w:val="0"/>
          <w:iCs/>
          <w:sz w:val="24"/>
          <w:szCs w:val="24"/>
        </w:rPr>
        <w:t xml:space="preserve">Em situações análogas, o </w:t>
      </w:r>
      <w:r w:rsidRPr="00200C22">
        <w:rPr>
          <w:rFonts w:ascii="Garamond" w:hAnsi="Garamond"/>
          <w:b/>
          <w:i w:val="0"/>
          <w:iCs/>
          <w:sz w:val="24"/>
          <w:szCs w:val="24"/>
        </w:rPr>
        <w:t>SUPREMO TRIBUNAL FEDERAL</w:t>
      </w:r>
      <w:r w:rsidRPr="00200C22">
        <w:rPr>
          <w:rFonts w:ascii="Garamond" w:hAnsi="Garamond"/>
          <w:i w:val="0"/>
          <w:iCs/>
          <w:sz w:val="24"/>
          <w:szCs w:val="24"/>
        </w:rPr>
        <w:t xml:space="preserve"> vem decidindo no sentido de que </w:t>
      </w:r>
      <w:r w:rsidRPr="00200C22">
        <w:rPr>
          <w:rFonts w:ascii="Garamond" w:hAnsi="Garamond"/>
          <w:b/>
          <w:i w:val="0"/>
          <w:iCs/>
          <w:sz w:val="24"/>
          <w:szCs w:val="24"/>
          <w:u w:val="single"/>
        </w:rPr>
        <w:t>simples possibilidade</w:t>
      </w:r>
      <w:r w:rsidRPr="00200C22">
        <w:rPr>
          <w:rFonts w:ascii="Garamond" w:hAnsi="Garamond"/>
          <w:i w:val="0"/>
          <w:iCs/>
          <w:sz w:val="24"/>
          <w:szCs w:val="24"/>
        </w:rPr>
        <w:t xml:space="preserve"> do </w:t>
      </w:r>
      <w:r w:rsidRPr="00200C22">
        <w:rPr>
          <w:rFonts w:ascii="Garamond" w:hAnsi="Garamond"/>
          <w:b/>
          <w:i w:val="0"/>
          <w:iCs/>
          <w:sz w:val="24"/>
          <w:szCs w:val="24"/>
        </w:rPr>
        <w:t>ajuizamento da execução</w:t>
      </w:r>
      <w:r w:rsidRPr="00200C22">
        <w:rPr>
          <w:rFonts w:ascii="Garamond" w:hAnsi="Garamond"/>
          <w:i w:val="0"/>
          <w:iCs/>
          <w:sz w:val="24"/>
          <w:szCs w:val="24"/>
        </w:rPr>
        <w:t xml:space="preserve"> fiscal já configuraria de forma </w:t>
      </w:r>
      <w:r w:rsidRPr="00200C22">
        <w:rPr>
          <w:rFonts w:ascii="Garamond" w:hAnsi="Garamond"/>
          <w:b/>
          <w:i w:val="0"/>
          <w:iCs/>
          <w:sz w:val="24"/>
          <w:szCs w:val="24"/>
        </w:rPr>
        <w:t xml:space="preserve">clarividente a presença do </w:t>
      </w:r>
      <w:r w:rsidRPr="00200C22">
        <w:rPr>
          <w:rFonts w:ascii="Garamond" w:hAnsi="Garamond"/>
          <w:b/>
          <w:iCs/>
          <w:sz w:val="24"/>
          <w:szCs w:val="24"/>
        </w:rPr>
        <w:t>periculum in mora</w:t>
      </w:r>
      <w:r w:rsidRPr="00200C22">
        <w:rPr>
          <w:rFonts w:ascii="Garamond" w:hAnsi="Garamond"/>
          <w:i w:val="0"/>
          <w:iCs/>
          <w:sz w:val="24"/>
          <w:szCs w:val="24"/>
        </w:rPr>
        <w:t>:</w:t>
      </w:r>
      <w:r w:rsidRPr="00200C22">
        <w:rPr>
          <w:rStyle w:val="Refdenotaderodap"/>
          <w:rFonts w:ascii="Garamond" w:hAnsi="Garamond"/>
          <w:i w:val="0"/>
          <w:iCs/>
          <w:sz w:val="24"/>
          <w:szCs w:val="24"/>
        </w:rPr>
        <w:footnoteReference w:id="2"/>
      </w:r>
    </w:p>
    <w:p w14:paraId="0B2E0271" w14:textId="77777777" w:rsidR="00EF4BB9" w:rsidRPr="00200C22" w:rsidRDefault="00EF4BB9" w:rsidP="00EF4BB9">
      <w:pPr>
        <w:pStyle w:val="Citao"/>
        <w:widowControl w:val="0"/>
        <w:tabs>
          <w:tab w:val="clear" w:pos="3969"/>
          <w:tab w:val="left" w:pos="2268"/>
          <w:tab w:val="left" w:pos="3686"/>
        </w:tabs>
        <w:spacing w:before="0" w:after="0" w:line="360" w:lineRule="auto"/>
        <w:ind w:left="0" w:right="0"/>
        <w:rPr>
          <w:rFonts w:ascii="Garamond" w:hAnsi="Garamond"/>
          <w:i w:val="0"/>
          <w:iCs/>
          <w:sz w:val="24"/>
          <w:szCs w:val="24"/>
        </w:rPr>
      </w:pPr>
    </w:p>
    <w:p w14:paraId="7F206BE2" w14:textId="77777777" w:rsidR="00EF4BB9" w:rsidRPr="0001387D" w:rsidRDefault="00EF4BB9" w:rsidP="0001387D">
      <w:pPr>
        <w:pStyle w:val="NormalWeb"/>
        <w:tabs>
          <w:tab w:val="left" w:pos="3686"/>
        </w:tabs>
        <w:spacing w:before="0" w:beforeAutospacing="0" w:after="0" w:afterAutospacing="0"/>
        <w:ind w:left="4248"/>
        <w:jc w:val="both"/>
        <w:textAlignment w:val="top"/>
        <w:rPr>
          <w:rStyle w:val="Forte"/>
          <w:rFonts w:ascii="Garamond" w:hAnsi="Garamond" w:cs="Times New Roman"/>
          <w:iCs/>
          <w:color w:val="auto"/>
          <w:sz w:val="20"/>
          <w:szCs w:val="20"/>
        </w:rPr>
      </w:pPr>
      <w:r w:rsidRPr="0001387D">
        <w:rPr>
          <w:rStyle w:val="Forte"/>
          <w:rFonts w:ascii="Garamond" w:hAnsi="Garamond" w:cs="Times New Roman"/>
          <w:iCs/>
          <w:color w:val="auto"/>
          <w:sz w:val="20"/>
          <w:szCs w:val="20"/>
        </w:rPr>
        <w:lastRenderedPageBreak/>
        <w:t>“AC 2051 MC / SC - SANTA CATARINA</w:t>
      </w:r>
    </w:p>
    <w:p w14:paraId="19D7BE35" w14:textId="77777777" w:rsidR="00EF4BB9" w:rsidRPr="0001387D" w:rsidRDefault="00EF4BB9" w:rsidP="0001387D">
      <w:pPr>
        <w:pStyle w:val="NormalWeb"/>
        <w:tabs>
          <w:tab w:val="left" w:pos="3686"/>
        </w:tabs>
        <w:spacing w:before="0" w:beforeAutospacing="0" w:after="0" w:afterAutospacing="0"/>
        <w:ind w:left="4248"/>
        <w:jc w:val="both"/>
        <w:textAlignment w:val="top"/>
        <w:rPr>
          <w:rStyle w:val="Forte"/>
          <w:rFonts w:ascii="Garamond" w:hAnsi="Garamond" w:cs="Times New Roman"/>
          <w:iCs/>
          <w:color w:val="auto"/>
          <w:sz w:val="20"/>
          <w:szCs w:val="20"/>
        </w:rPr>
      </w:pPr>
      <w:r w:rsidRPr="0001387D">
        <w:rPr>
          <w:rStyle w:val="Forte"/>
          <w:rFonts w:ascii="Garamond" w:hAnsi="Garamond" w:cs="Times New Roman"/>
          <w:iCs/>
          <w:color w:val="auto"/>
          <w:sz w:val="20"/>
          <w:szCs w:val="20"/>
        </w:rPr>
        <w:t>MEDIDA CAUTELAR EM AÇÃO CAUTELAR</w:t>
      </w:r>
    </w:p>
    <w:p w14:paraId="04A8A989" w14:textId="77777777" w:rsidR="00EF4BB9" w:rsidRPr="0001387D" w:rsidRDefault="00EF4BB9" w:rsidP="0001387D">
      <w:pPr>
        <w:pStyle w:val="NormalWeb"/>
        <w:tabs>
          <w:tab w:val="left" w:pos="3686"/>
        </w:tabs>
        <w:spacing w:before="0" w:beforeAutospacing="0" w:after="0" w:afterAutospacing="0"/>
        <w:ind w:left="4248"/>
        <w:jc w:val="both"/>
        <w:textAlignment w:val="top"/>
        <w:rPr>
          <w:rStyle w:val="Forte"/>
          <w:rFonts w:ascii="Garamond" w:hAnsi="Garamond" w:cs="Times New Roman"/>
          <w:iCs/>
          <w:color w:val="auto"/>
          <w:sz w:val="20"/>
          <w:szCs w:val="20"/>
        </w:rPr>
      </w:pPr>
      <w:r w:rsidRPr="0001387D">
        <w:rPr>
          <w:rStyle w:val="Forte"/>
          <w:rFonts w:ascii="Garamond" w:hAnsi="Garamond" w:cs="Times New Roman"/>
          <w:iCs/>
          <w:color w:val="auto"/>
          <w:sz w:val="20"/>
          <w:szCs w:val="20"/>
        </w:rPr>
        <w:t>Relator:  Min. JOAQUIM BARBOSA</w:t>
      </w:r>
    </w:p>
    <w:p w14:paraId="557C9BAC"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Style w:val="Forte"/>
          <w:rFonts w:ascii="Garamond" w:hAnsi="Garamond" w:cs="Times New Roman"/>
          <w:iCs/>
          <w:color w:val="auto"/>
          <w:sz w:val="20"/>
          <w:szCs w:val="20"/>
        </w:rPr>
        <w:t>Julgamento: 27/05/2008</w:t>
      </w:r>
    </w:p>
    <w:p w14:paraId="286D0A73"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Style w:val="Forte"/>
          <w:rFonts w:ascii="Garamond" w:hAnsi="Garamond" w:cs="Times New Roman"/>
          <w:iCs/>
          <w:color w:val="auto"/>
          <w:sz w:val="20"/>
          <w:szCs w:val="20"/>
        </w:rPr>
        <w:t>Publicação</w:t>
      </w:r>
    </w:p>
    <w:p w14:paraId="7A36A601" w14:textId="77777777" w:rsidR="00EF4BB9" w:rsidRPr="0001387D" w:rsidRDefault="00EF4BB9" w:rsidP="0001387D">
      <w:pPr>
        <w:pStyle w:val="Pr-formataoHTML"/>
        <w:tabs>
          <w:tab w:val="clear" w:pos="3664"/>
          <w:tab w:val="left" w:pos="3686"/>
        </w:tabs>
        <w:ind w:left="4248"/>
        <w:jc w:val="both"/>
        <w:textAlignment w:val="top"/>
        <w:rPr>
          <w:rFonts w:ascii="Garamond" w:hAnsi="Garamond"/>
          <w:iCs/>
        </w:rPr>
      </w:pPr>
      <w:r w:rsidRPr="0001387D">
        <w:rPr>
          <w:rFonts w:ascii="Garamond" w:hAnsi="Garamond"/>
          <w:iCs/>
        </w:rPr>
        <w:t>DJe-099 DIVULG 02/06/2008 PUBLIC 03/06/2008</w:t>
      </w:r>
    </w:p>
    <w:p w14:paraId="1D8B7877"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Style w:val="Forte"/>
          <w:rFonts w:ascii="Garamond" w:hAnsi="Garamond" w:cs="Times New Roman"/>
          <w:iCs/>
          <w:color w:val="auto"/>
          <w:sz w:val="20"/>
          <w:szCs w:val="20"/>
        </w:rPr>
        <w:t>Partes</w:t>
      </w:r>
    </w:p>
    <w:p w14:paraId="0A9929B4" w14:textId="77777777" w:rsidR="00EF4BB9" w:rsidRPr="0001387D" w:rsidRDefault="00EF4BB9" w:rsidP="0001387D">
      <w:pPr>
        <w:pStyle w:val="Pr-formataoHTML"/>
        <w:tabs>
          <w:tab w:val="clear" w:pos="3664"/>
          <w:tab w:val="left" w:pos="3686"/>
        </w:tabs>
        <w:ind w:left="4248"/>
        <w:jc w:val="both"/>
        <w:textAlignment w:val="top"/>
        <w:rPr>
          <w:rFonts w:ascii="Garamond" w:hAnsi="Garamond"/>
          <w:iCs/>
        </w:rPr>
      </w:pPr>
      <w:r w:rsidRPr="0001387D">
        <w:rPr>
          <w:rFonts w:ascii="Garamond" w:hAnsi="Garamond"/>
          <w:iCs/>
        </w:rPr>
        <w:t>REQTE. (S): RHBRASIL SERVIÇOS TEMPORÁRIOS LTDA</w:t>
      </w:r>
    </w:p>
    <w:p w14:paraId="30E181E8" w14:textId="77777777" w:rsidR="00EF4BB9" w:rsidRPr="0001387D" w:rsidRDefault="00EF4BB9" w:rsidP="0001387D">
      <w:pPr>
        <w:pStyle w:val="Pr-formataoHTML"/>
        <w:tabs>
          <w:tab w:val="clear" w:pos="3664"/>
          <w:tab w:val="left" w:pos="3686"/>
        </w:tabs>
        <w:ind w:left="4248"/>
        <w:jc w:val="both"/>
        <w:textAlignment w:val="top"/>
        <w:rPr>
          <w:rFonts w:ascii="Garamond" w:hAnsi="Garamond"/>
          <w:iCs/>
        </w:rPr>
      </w:pPr>
      <w:r w:rsidRPr="0001387D">
        <w:rPr>
          <w:rFonts w:ascii="Garamond" w:hAnsi="Garamond"/>
          <w:iCs/>
        </w:rPr>
        <w:t>ADV.(A/S): IGOR MAULER SANTIAGO E OUTRO(A/S)</w:t>
      </w:r>
    </w:p>
    <w:p w14:paraId="56417EDE" w14:textId="77777777" w:rsidR="00EF4BB9" w:rsidRPr="0001387D" w:rsidRDefault="00EF4BB9" w:rsidP="0001387D">
      <w:pPr>
        <w:pStyle w:val="Pr-formataoHTML"/>
        <w:tabs>
          <w:tab w:val="clear" w:pos="3664"/>
          <w:tab w:val="left" w:pos="3686"/>
        </w:tabs>
        <w:ind w:left="4248"/>
        <w:jc w:val="both"/>
        <w:textAlignment w:val="top"/>
        <w:rPr>
          <w:rFonts w:ascii="Garamond" w:hAnsi="Garamond"/>
          <w:iCs/>
        </w:rPr>
      </w:pPr>
      <w:r w:rsidRPr="0001387D">
        <w:rPr>
          <w:rFonts w:ascii="Garamond" w:hAnsi="Garamond"/>
          <w:iCs/>
        </w:rPr>
        <w:t>ADV.(A/S): SACHA CALMON NAVARRO COÊLHO</w:t>
      </w:r>
    </w:p>
    <w:p w14:paraId="29ACDF78" w14:textId="77777777" w:rsidR="00EF4BB9" w:rsidRPr="0001387D" w:rsidRDefault="00EF4BB9" w:rsidP="0001387D">
      <w:pPr>
        <w:pStyle w:val="Pr-formataoHTML"/>
        <w:tabs>
          <w:tab w:val="clear" w:pos="3664"/>
          <w:tab w:val="left" w:pos="3686"/>
        </w:tabs>
        <w:ind w:left="4248"/>
        <w:jc w:val="both"/>
        <w:textAlignment w:val="top"/>
        <w:rPr>
          <w:rFonts w:ascii="Garamond" w:hAnsi="Garamond"/>
          <w:iCs/>
        </w:rPr>
      </w:pPr>
      <w:r w:rsidRPr="0001387D">
        <w:rPr>
          <w:rFonts w:ascii="Garamond" w:hAnsi="Garamond"/>
          <w:iCs/>
        </w:rPr>
        <w:t>REQDO. (A/S): UNIÃO</w:t>
      </w:r>
    </w:p>
    <w:p w14:paraId="6805C9BF" w14:textId="77777777" w:rsidR="00EF4BB9" w:rsidRPr="0001387D" w:rsidRDefault="00EF4BB9" w:rsidP="0001387D">
      <w:pPr>
        <w:pStyle w:val="Pr-formataoHTML"/>
        <w:tabs>
          <w:tab w:val="clear" w:pos="3664"/>
          <w:tab w:val="left" w:pos="3686"/>
        </w:tabs>
        <w:ind w:left="4248"/>
        <w:jc w:val="both"/>
        <w:textAlignment w:val="top"/>
        <w:rPr>
          <w:rFonts w:ascii="Garamond" w:hAnsi="Garamond"/>
          <w:iCs/>
        </w:rPr>
      </w:pPr>
      <w:r w:rsidRPr="0001387D">
        <w:rPr>
          <w:rFonts w:ascii="Garamond" w:hAnsi="Garamond"/>
          <w:iCs/>
        </w:rPr>
        <w:t>ADV.(A/S): PROCURADORIA-GERAL DA FAZENDA NACIONAL</w:t>
      </w:r>
    </w:p>
    <w:p w14:paraId="41198558"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Style w:val="Forte"/>
          <w:rFonts w:ascii="Garamond" w:hAnsi="Garamond" w:cs="Times New Roman"/>
          <w:iCs/>
          <w:color w:val="auto"/>
          <w:sz w:val="20"/>
          <w:szCs w:val="20"/>
        </w:rPr>
        <w:t>Despacho</w:t>
      </w:r>
    </w:p>
    <w:p w14:paraId="0B1D5C76"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Fonts w:ascii="Garamond" w:hAnsi="Garamond" w:cs="Times New Roman"/>
          <w:iCs/>
          <w:color w:val="auto"/>
          <w:sz w:val="20"/>
          <w:szCs w:val="20"/>
        </w:rPr>
        <w:t xml:space="preserve">DECISÃO: Trata-se de ação cautelar ajuizada contra a União por </w:t>
      </w:r>
      <w:proofErr w:type="spellStart"/>
      <w:r w:rsidRPr="0001387D">
        <w:rPr>
          <w:rFonts w:ascii="Garamond" w:hAnsi="Garamond" w:cs="Times New Roman"/>
          <w:iCs/>
          <w:color w:val="auto"/>
          <w:sz w:val="20"/>
          <w:szCs w:val="20"/>
        </w:rPr>
        <w:t>RHBrasil</w:t>
      </w:r>
      <w:proofErr w:type="spellEnd"/>
      <w:r w:rsidRPr="0001387D">
        <w:rPr>
          <w:rFonts w:ascii="Garamond" w:hAnsi="Garamond" w:cs="Times New Roman"/>
          <w:iCs/>
          <w:color w:val="auto"/>
          <w:sz w:val="20"/>
          <w:szCs w:val="20"/>
        </w:rPr>
        <w:t xml:space="preserve"> Serviços Temporários Ltda. e destinada a atribuir efeito suspensivo ao RE 584.543, de minha relatoria.</w:t>
      </w:r>
    </w:p>
    <w:p w14:paraId="0070C608"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Fonts w:ascii="Garamond" w:hAnsi="Garamond" w:cs="Times New Roman"/>
          <w:iCs/>
          <w:color w:val="auto"/>
          <w:sz w:val="20"/>
          <w:szCs w:val="20"/>
        </w:rPr>
        <w:t>Em suas próprias palavras, “a Requerente é empresa prestadora de serviços de fornecimento de mão-de-obra temporária, nos termos da Lei nº 6.019/74” (Fls. 02).</w:t>
      </w:r>
    </w:p>
    <w:p w14:paraId="0169C600"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Fonts w:ascii="Garamond" w:hAnsi="Garamond" w:cs="Times New Roman"/>
          <w:iCs/>
          <w:color w:val="auto"/>
          <w:sz w:val="20"/>
          <w:szCs w:val="20"/>
        </w:rPr>
        <w:t>(...)</w:t>
      </w:r>
    </w:p>
    <w:p w14:paraId="51DD9E1B"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Fonts w:ascii="Garamond" w:hAnsi="Garamond" w:cs="Times New Roman"/>
          <w:b/>
          <w:iCs/>
          <w:color w:val="auto"/>
          <w:sz w:val="20"/>
          <w:szCs w:val="20"/>
          <w:u w:val="single"/>
        </w:rPr>
        <w:t>Para justificar o periculum in mora, a requerente aponta que a União ajuizou ação de execução fiscal para cobrar os valores que entende devidos e que somam, aproximadamente, trinta milhões de reais</w:t>
      </w:r>
      <w:r w:rsidRPr="0001387D">
        <w:rPr>
          <w:rFonts w:ascii="Garamond" w:hAnsi="Garamond" w:cs="Times New Roman"/>
          <w:iCs/>
          <w:color w:val="auto"/>
          <w:sz w:val="20"/>
          <w:szCs w:val="20"/>
        </w:rPr>
        <w:t xml:space="preserve">. </w:t>
      </w:r>
    </w:p>
    <w:p w14:paraId="3E074850" w14:textId="77777777" w:rsidR="00EF4BB9" w:rsidRPr="0001387D" w:rsidRDefault="00EF4BB9" w:rsidP="0001387D">
      <w:pPr>
        <w:pStyle w:val="NormalWeb"/>
        <w:tabs>
          <w:tab w:val="left" w:pos="3686"/>
        </w:tabs>
        <w:spacing w:before="0" w:beforeAutospacing="0" w:after="0" w:afterAutospacing="0"/>
        <w:ind w:left="4248"/>
        <w:jc w:val="both"/>
        <w:textAlignment w:val="top"/>
        <w:rPr>
          <w:rFonts w:ascii="Garamond" w:hAnsi="Garamond" w:cs="Times New Roman"/>
          <w:iCs/>
          <w:color w:val="auto"/>
          <w:sz w:val="20"/>
          <w:szCs w:val="20"/>
        </w:rPr>
      </w:pPr>
      <w:r w:rsidRPr="0001387D">
        <w:rPr>
          <w:rFonts w:ascii="Garamond" w:hAnsi="Garamond" w:cs="Times New Roman"/>
          <w:iCs/>
          <w:color w:val="auto"/>
          <w:sz w:val="20"/>
          <w:szCs w:val="20"/>
        </w:rPr>
        <w:t>(....)</w:t>
      </w:r>
    </w:p>
    <w:p w14:paraId="386DEFC4" w14:textId="77777777" w:rsidR="00EF4BB9" w:rsidRPr="0001387D" w:rsidRDefault="00EF4BB9" w:rsidP="0001387D">
      <w:pPr>
        <w:pStyle w:val="Cabealho"/>
        <w:tabs>
          <w:tab w:val="left" w:pos="3686"/>
        </w:tabs>
        <w:adjustRightInd w:val="0"/>
        <w:ind w:left="4248"/>
        <w:jc w:val="both"/>
        <w:textAlignment w:val="baseline"/>
        <w:rPr>
          <w:rFonts w:ascii="Garamond" w:hAnsi="Garamond" w:cs="Times New Roman"/>
          <w:iCs/>
          <w:sz w:val="20"/>
          <w:szCs w:val="20"/>
        </w:rPr>
      </w:pPr>
      <w:r w:rsidRPr="0001387D">
        <w:rPr>
          <w:rFonts w:ascii="Garamond" w:hAnsi="Garamond" w:cs="Times New Roman"/>
          <w:b/>
          <w:iCs/>
          <w:sz w:val="20"/>
          <w:szCs w:val="20"/>
          <w:u w:val="single"/>
        </w:rPr>
        <w:t xml:space="preserve">Ante o exposto, concedo parcialmente a medida liminar requerida, para suspender a exigibilidade dos créditos tributários </w:t>
      </w:r>
      <w:r w:rsidRPr="0001387D">
        <w:rPr>
          <w:rFonts w:ascii="Garamond" w:hAnsi="Garamond" w:cs="Times New Roman"/>
          <w:iCs/>
          <w:sz w:val="20"/>
          <w:szCs w:val="20"/>
        </w:rPr>
        <w:t xml:space="preserve">cuja validade se discute nos autos do RE 584.543, de minha </w:t>
      </w:r>
      <w:proofErr w:type="spellStart"/>
      <w:r w:rsidRPr="0001387D">
        <w:rPr>
          <w:rFonts w:ascii="Garamond" w:hAnsi="Garamond" w:cs="Times New Roman"/>
          <w:iCs/>
          <w:sz w:val="20"/>
          <w:szCs w:val="20"/>
        </w:rPr>
        <w:t>relatoria</w:t>
      </w:r>
      <w:proofErr w:type="spellEnd"/>
      <w:r w:rsidRPr="0001387D">
        <w:rPr>
          <w:rFonts w:ascii="Garamond" w:hAnsi="Garamond" w:cs="Times New Roman"/>
          <w:iCs/>
          <w:sz w:val="20"/>
          <w:szCs w:val="20"/>
        </w:rPr>
        <w:t xml:space="preserve"> (</w:t>
      </w:r>
      <w:proofErr w:type="spellStart"/>
      <w:r w:rsidRPr="0001387D">
        <w:rPr>
          <w:rFonts w:ascii="Garamond" w:hAnsi="Garamond" w:cs="Times New Roman"/>
          <w:iCs/>
          <w:sz w:val="20"/>
          <w:szCs w:val="20"/>
        </w:rPr>
        <w:t>art</w:t>
      </w:r>
      <w:proofErr w:type="spellEnd"/>
      <w:r w:rsidRPr="0001387D">
        <w:rPr>
          <w:rFonts w:ascii="Garamond" w:hAnsi="Garamond" w:cs="Times New Roman"/>
          <w:iCs/>
          <w:sz w:val="20"/>
          <w:szCs w:val="20"/>
        </w:rPr>
        <w:t xml:space="preserve">. 151, V, do Código Tributário Nacional). A suspensão da exigibilidade dos créditos tributários se limita à pretensão da União de calcular o IRPJ e a CSLL sobre os valores recebidos de clientes pela requerida, pertinentes à remuneração paga ao trabalhador temporário que tem sua força de trabalho cedida nos termos da Lei 6.019/1974. Também está suspensa a exigibilidade dos créditos tributários relativos à inclusão dos valores pertinentes à incidência da contribuição previdenciária sobre a remuneração paga ao trabalhador temporário, e que é repassada pelo tomador do serviço à requerente. A medida liminar que ora se concede perdurará até o julgamento do recurso extraordinário, e não desobriga a requerente de cumprir todas as obrigações acessórias pertinentes aos tributos, assim como de realizar os </w:t>
      </w:r>
      <w:proofErr w:type="gramStart"/>
      <w:r w:rsidRPr="0001387D">
        <w:rPr>
          <w:rFonts w:ascii="Garamond" w:hAnsi="Garamond" w:cs="Times New Roman"/>
          <w:iCs/>
          <w:sz w:val="20"/>
          <w:szCs w:val="20"/>
        </w:rPr>
        <w:t>registros</w:t>
      </w:r>
      <w:proofErr w:type="gramEnd"/>
      <w:r w:rsidRPr="0001387D">
        <w:rPr>
          <w:rFonts w:ascii="Garamond" w:hAnsi="Garamond" w:cs="Times New Roman"/>
          <w:iCs/>
          <w:sz w:val="20"/>
          <w:szCs w:val="20"/>
        </w:rPr>
        <w:t xml:space="preserve"> fiscais, contábeis e societários pertinentes aos créditos tributários. Comunique-se o teor desta decisão à requerida e ao Juízo da Vara das Execuções Fiscais e Juizado Especial Federal Cível de Joinville/SC (Execução Fiscal 2007.72.01.005747-0/SC). Apensem-se estes aos autos do RE 584.543, de minha </w:t>
      </w:r>
      <w:proofErr w:type="spellStart"/>
      <w:r w:rsidRPr="0001387D">
        <w:rPr>
          <w:rFonts w:ascii="Garamond" w:hAnsi="Garamond" w:cs="Times New Roman"/>
          <w:iCs/>
          <w:sz w:val="20"/>
          <w:szCs w:val="20"/>
        </w:rPr>
        <w:t>relatoria</w:t>
      </w:r>
      <w:proofErr w:type="spellEnd"/>
      <w:r w:rsidRPr="0001387D">
        <w:rPr>
          <w:rFonts w:ascii="Garamond" w:hAnsi="Garamond" w:cs="Times New Roman"/>
          <w:iCs/>
          <w:sz w:val="20"/>
          <w:szCs w:val="20"/>
        </w:rPr>
        <w:t>. Ao referendo da Turma. Publique-se. Brasília, 27 de maio de 2008. Ministro JOAQUIM BARBOSA. Relator.”</w:t>
      </w:r>
    </w:p>
    <w:p w14:paraId="6C940FB6" w14:textId="77777777" w:rsidR="00EF4BB9" w:rsidRPr="00200C22" w:rsidRDefault="00EF4BB9" w:rsidP="00EF4BB9">
      <w:pPr>
        <w:pStyle w:val="Citao"/>
        <w:widowControl w:val="0"/>
        <w:tabs>
          <w:tab w:val="clear" w:pos="3969"/>
          <w:tab w:val="left" w:pos="3686"/>
        </w:tabs>
        <w:spacing w:before="0" w:after="0" w:line="360" w:lineRule="auto"/>
        <w:ind w:left="0" w:right="0" w:firstLine="2880"/>
        <w:rPr>
          <w:rFonts w:ascii="Garamond" w:hAnsi="Garamond"/>
          <w:i w:val="0"/>
          <w:sz w:val="24"/>
          <w:szCs w:val="24"/>
        </w:rPr>
      </w:pPr>
    </w:p>
    <w:p w14:paraId="072BAD56" w14:textId="77777777" w:rsidR="00EF4BB9" w:rsidRPr="00200C22" w:rsidRDefault="00EF4BB9" w:rsidP="00EF4BB9">
      <w:pPr>
        <w:pStyle w:val="Citao"/>
        <w:widowControl w:val="0"/>
        <w:tabs>
          <w:tab w:val="clear" w:pos="3969"/>
          <w:tab w:val="left" w:pos="3686"/>
        </w:tabs>
        <w:spacing w:before="0" w:after="0" w:line="360" w:lineRule="auto"/>
        <w:ind w:left="0" w:right="0"/>
        <w:rPr>
          <w:rFonts w:ascii="Garamond" w:hAnsi="Garamond"/>
          <w:i w:val="0"/>
          <w:sz w:val="24"/>
          <w:szCs w:val="24"/>
        </w:rPr>
      </w:pPr>
    </w:p>
    <w:p w14:paraId="31A5653B" w14:textId="3DF74CA4" w:rsidR="00EF4BB9" w:rsidRPr="00200C22" w:rsidRDefault="00EF4BB9" w:rsidP="0001387D">
      <w:pPr>
        <w:pStyle w:val="Citao"/>
        <w:widowControl w:val="0"/>
        <w:tabs>
          <w:tab w:val="clear" w:pos="3969"/>
          <w:tab w:val="left" w:pos="3686"/>
        </w:tabs>
        <w:spacing w:before="0" w:after="0" w:line="360" w:lineRule="auto"/>
        <w:ind w:left="0" w:right="0"/>
        <w:rPr>
          <w:rFonts w:ascii="Garamond" w:hAnsi="Garamond"/>
          <w:i w:val="0"/>
          <w:sz w:val="24"/>
          <w:szCs w:val="24"/>
        </w:rPr>
      </w:pPr>
      <w:r w:rsidRPr="00200C22">
        <w:rPr>
          <w:rFonts w:ascii="Garamond" w:hAnsi="Garamond"/>
          <w:i w:val="0"/>
          <w:sz w:val="24"/>
          <w:szCs w:val="24"/>
        </w:rPr>
        <w:t xml:space="preserve">Por outro lado, convém salientar que a </w:t>
      </w:r>
      <w:r w:rsidRPr="00200C22">
        <w:rPr>
          <w:rFonts w:ascii="Garamond" w:hAnsi="Garamond"/>
          <w:b/>
          <w:i w:val="0"/>
          <w:sz w:val="24"/>
          <w:szCs w:val="24"/>
        </w:rPr>
        <w:t xml:space="preserve">concessão de tutela antecipada de urgência não causará qualquer prejuízo ao Estado de Goiás, </w:t>
      </w:r>
      <w:r w:rsidRPr="00200C22">
        <w:rPr>
          <w:rFonts w:ascii="Garamond" w:hAnsi="Garamond"/>
          <w:b/>
          <w:i w:val="0"/>
          <w:sz w:val="24"/>
          <w:szCs w:val="24"/>
          <w:u w:val="single"/>
        </w:rPr>
        <w:t>não sendo, ademais, irreversível.</w:t>
      </w:r>
    </w:p>
    <w:p w14:paraId="3129499F" w14:textId="77777777" w:rsidR="00EF4BB9" w:rsidRPr="00200C22" w:rsidRDefault="00EF4BB9" w:rsidP="00EF4BB9">
      <w:pPr>
        <w:pStyle w:val="Citao"/>
        <w:widowControl w:val="0"/>
        <w:tabs>
          <w:tab w:val="clear" w:pos="3969"/>
          <w:tab w:val="left" w:pos="3686"/>
          <w:tab w:val="left" w:pos="6510"/>
        </w:tabs>
        <w:spacing w:before="0" w:after="0" w:line="360" w:lineRule="auto"/>
        <w:ind w:left="0" w:right="0" w:firstLine="2880"/>
        <w:rPr>
          <w:rFonts w:ascii="Garamond" w:hAnsi="Garamond"/>
          <w:i w:val="0"/>
          <w:sz w:val="24"/>
          <w:szCs w:val="24"/>
        </w:rPr>
      </w:pPr>
      <w:r w:rsidRPr="00200C22">
        <w:rPr>
          <w:rFonts w:ascii="Garamond" w:hAnsi="Garamond"/>
          <w:i w:val="0"/>
          <w:sz w:val="24"/>
          <w:szCs w:val="24"/>
        </w:rPr>
        <w:tab/>
      </w:r>
    </w:p>
    <w:p w14:paraId="17FA33A7" w14:textId="77777777" w:rsidR="00EF4BB9" w:rsidRPr="00200C22" w:rsidRDefault="00EF4BB9" w:rsidP="0001387D">
      <w:pPr>
        <w:pStyle w:val="Citao"/>
        <w:widowControl w:val="0"/>
        <w:tabs>
          <w:tab w:val="clear" w:pos="3969"/>
          <w:tab w:val="left" w:pos="3686"/>
        </w:tabs>
        <w:spacing w:before="0" w:after="0" w:line="360" w:lineRule="auto"/>
        <w:ind w:left="0" w:right="0"/>
        <w:rPr>
          <w:rFonts w:ascii="Garamond" w:hAnsi="Garamond"/>
          <w:i w:val="0"/>
          <w:iCs/>
          <w:sz w:val="24"/>
          <w:szCs w:val="24"/>
        </w:rPr>
      </w:pPr>
      <w:r w:rsidRPr="00200C22">
        <w:rPr>
          <w:rFonts w:ascii="Garamond" w:hAnsi="Garamond"/>
          <w:i w:val="0"/>
          <w:sz w:val="24"/>
          <w:szCs w:val="24"/>
        </w:rPr>
        <w:t xml:space="preserve">Enfim, não deve olvidar da lição de </w:t>
      </w:r>
      <w:r w:rsidRPr="00200C22">
        <w:rPr>
          <w:rFonts w:ascii="Garamond" w:hAnsi="Garamond"/>
          <w:b/>
          <w:bCs/>
          <w:i w:val="0"/>
          <w:sz w:val="24"/>
          <w:szCs w:val="24"/>
        </w:rPr>
        <w:t>HUMBERTO THEODORO JÚNIOR</w:t>
      </w:r>
      <w:r w:rsidRPr="00200C22">
        <w:rPr>
          <w:rFonts w:ascii="Garamond" w:hAnsi="Garamond"/>
          <w:i w:val="0"/>
          <w:sz w:val="24"/>
          <w:szCs w:val="24"/>
        </w:rPr>
        <w:t xml:space="preserve">, para quem, em expressão de rara felicidade, em tema de “medidas cautelares”, também aplicável à </w:t>
      </w:r>
      <w:r w:rsidRPr="00200C22">
        <w:rPr>
          <w:rFonts w:ascii="Garamond" w:hAnsi="Garamond"/>
          <w:b/>
          <w:bCs/>
          <w:i w:val="0"/>
          <w:sz w:val="24"/>
          <w:szCs w:val="24"/>
        </w:rPr>
        <w:t>tutela antecipada</w:t>
      </w:r>
      <w:r w:rsidRPr="00200C22">
        <w:rPr>
          <w:rFonts w:ascii="Garamond" w:hAnsi="Garamond"/>
          <w:i w:val="0"/>
          <w:sz w:val="24"/>
          <w:szCs w:val="24"/>
        </w:rPr>
        <w:t xml:space="preserve">, já que se trata de </w:t>
      </w:r>
      <w:r w:rsidRPr="00200C22">
        <w:rPr>
          <w:rFonts w:ascii="Garamond" w:hAnsi="Garamond"/>
          <w:b/>
          <w:bCs/>
          <w:i w:val="0"/>
          <w:sz w:val="24"/>
          <w:szCs w:val="24"/>
        </w:rPr>
        <w:t>tutela de urgência</w:t>
      </w:r>
      <w:r w:rsidRPr="00200C22">
        <w:rPr>
          <w:rFonts w:ascii="Garamond" w:hAnsi="Garamond"/>
          <w:i w:val="0"/>
          <w:sz w:val="24"/>
          <w:szCs w:val="24"/>
        </w:rPr>
        <w:t>, “</w:t>
      </w:r>
      <w:r w:rsidRPr="00200C22">
        <w:rPr>
          <w:rFonts w:ascii="Garamond" w:hAnsi="Garamond"/>
          <w:b/>
          <w:bCs/>
          <w:i w:val="0"/>
          <w:sz w:val="24"/>
          <w:szCs w:val="24"/>
          <w:u w:val="single"/>
        </w:rPr>
        <w:t>mais vale prevenir do que remediar</w:t>
      </w:r>
      <w:r w:rsidRPr="00200C22">
        <w:rPr>
          <w:rFonts w:ascii="Garamond" w:hAnsi="Garamond"/>
          <w:i w:val="0"/>
          <w:sz w:val="24"/>
          <w:szCs w:val="24"/>
        </w:rPr>
        <w:t>”</w:t>
      </w:r>
      <w:r w:rsidRPr="00200C22">
        <w:rPr>
          <w:rStyle w:val="Refdenotaderodap"/>
          <w:rFonts w:ascii="Garamond" w:hAnsi="Garamond"/>
          <w:bCs/>
          <w:i w:val="0"/>
          <w:sz w:val="24"/>
          <w:szCs w:val="24"/>
        </w:rPr>
        <w:footnoteReference w:id="3"/>
      </w:r>
      <w:r w:rsidRPr="00200C22">
        <w:rPr>
          <w:rFonts w:ascii="Garamond" w:hAnsi="Garamond"/>
          <w:i w:val="0"/>
          <w:iCs/>
          <w:sz w:val="24"/>
          <w:szCs w:val="24"/>
        </w:rPr>
        <w:t>.</w:t>
      </w:r>
    </w:p>
    <w:p w14:paraId="749C4DCE" w14:textId="77777777" w:rsidR="00EF4BB9" w:rsidRPr="00200C22" w:rsidRDefault="00EF4BB9" w:rsidP="00EF4BB9">
      <w:pPr>
        <w:pStyle w:val="Corpodetexto2"/>
        <w:widowControl w:val="0"/>
        <w:tabs>
          <w:tab w:val="left" w:pos="2800"/>
        </w:tabs>
        <w:spacing w:line="360" w:lineRule="auto"/>
        <w:rPr>
          <w:rFonts w:ascii="Garamond" w:hAnsi="Garamond"/>
          <w:szCs w:val="24"/>
        </w:rPr>
      </w:pPr>
    </w:p>
    <w:p w14:paraId="2B61C442" w14:textId="762408C7" w:rsidR="00EF4BB9" w:rsidRPr="00200C22" w:rsidRDefault="00EF4BB9" w:rsidP="0001387D">
      <w:pPr>
        <w:pStyle w:val="Corpodetexto2"/>
        <w:widowControl w:val="0"/>
        <w:tabs>
          <w:tab w:val="left" w:pos="2800"/>
        </w:tabs>
        <w:spacing w:line="360" w:lineRule="auto"/>
        <w:rPr>
          <w:rFonts w:ascii="Garamond" w:hAnsi="Garamond"/>
          <w:szCs w:val="24"/>
        </w:rPr>
      </w:pPr>
      <w:r w:rsidRPr="00200C22">
        <w:rPr>
          <w:rFonts w:ascii="Garamond" w:hAnsi="Garamond"/>
          <w:szCs w:val="24"/>
        </w:rPr>
        <w:t xml:space="preserve">Bem por isso, deve ser declarada a suspensão do crédito tributário, nos termos do artigo 151, inciso V, do CTN, determinando-se que o Estado de Goiás se abstenha da cobrança do ICMS sobre os valores devidos a título de TUST e TUSD, oficiando-se, de igual modo, a CELG DISTRIBUIÇÃO S/A, localizada na Rua 02, Quadra A-37, nº 505, Edifício </w:t>
      </w:r>
      <w:proofErr w:type="spellStart"/>
      <w:r w:rsidRPr="00200C22">
        <w:rPr>
          <w:rFonts w:ascii="Garamond" w:hAnsi="Garamond"/>
          <w:szCs w:val="24"/>
        </w:rPr>
        <w:t>Gileno</w:t>
      </w:r>
      <w:proofErr w:type="spellEnd"/>
      <w:r w:rsidRPr="00200C22">
        <w:rPr>
          <w:rFonts w:ascii="Garamond" w:hAnsi="Garamond"/>
          <w:szCs w:val="24"/>
        </w:rPr>
        <w:t xml:space="preserve"> Godói, Bairro Jardim Goiás CEP 74.805-180, Goiânia, Estado de Goiás, para que a mesma se abstenha de realizar a cobrança do ICMS sobre a energia acrescida das tarifas TUST e TUSD, sob pena de descumprimento.</w:t>
      </w:r>
    </w:p>
    <w:p w14:paraId="60B2EB85" w14:textId="77777777" w:rsidR="00EF4BB9" w:rsidRPr="00200C22" w:rsidRDefault="00EF4BB9" w:rsidP="00EF4BB9">
      <w:pPr>
        <w:spacing w:line="360" w:lineRule="auto"/>
        <w:jc w:val="both"/>
        <w:rPr>
          <w:rFonts w:ascii="Garamond" w:hAnsi="Garamond"/>
          <w:lang w:val="pt-BR"/>
        </w:rPr>
      </w:pPr>
    </w:p>
    <w:p w14:paraId="4B023B76" w14:textId="3091AA7D" w:rsidR="00EF4BB9" w:rsidRPr="00200C22" w:rsidRDefault="00EF4BB9" w:rsidP="00EF4BB9">
      <w:pPr>
        <w:pStyle w:val="Corpodetexto"/>
        <w:rPr>
          <w:rFonts w:ascii="Garamond" w:hAnsi="Garamond"/>
          <w:b/>
          <w:sz w:val="24"/>
          <w:szCs w:val="24"/>
        </w:rPr>
      </w:pPr>
      <w:r w:rsidRPr="00200C22">
        <w:rPr>
          <w:rFonts w:ascii="Garamond" w:hAnsi="Garamond"/>
          <w:sz w:val="24"/>
          <w:szCs w:val="24"/>
        </w:rPr>
        <w:t xml:space="preserve"> </w:t>
      </w:r>
      <w:r w:rsidRPr="00200C22">
        <w:rPr>
          <w:rFonts w:ascii="Garamond" w:hAnsi="Garamond"/>
          <w:b/>
          <w:sz w:val="24"/>
          <w:szCs w:val="24"/>
        </w:rPr>
        <w:t>5. DOS PEDIDOS</w:t>
      </w:r>
    </w:p>
    <w:p w14:paraId="4CE34BFD" w14:textId="77777777" w:rsidR="0001387D" w:rsidRDefault="0001387D" w:rsidP="00EF4BB9">
      <w:pPr>
        <w:spacing w:line="360" w:lineRule="auto"/>
        <w:jc w:val="both"/>
        <w:rPr>
          <w:rFonts w:ascii="Garamond" w:hAnsi="Garamond"/>
          <w:spacing w:val="-3"/>
          <w:lang w:val="pt-BR"/>
        </w:rPr>
      </w:pPr>
    </w:p>
    <w:p w14:paraId="0CCFEBA7" w14:textId="5D81854A"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spacing w:val="-3"/>
          <w:lang w:val="pt-BR"/>
        </w:rPr>
        <w:t>Ante o exposto, REQUER:</w:t>
      </w:r>
    </w:p>
    <w:p w14:paraId="257E6727" w14:textId="77777777" w:rsidR="0001387D" w:rsidRDefault="0001387D" w:rsidP="0001387D">
      <w:pPr>
        <w:spacing w:line="360" w:lineRule="auto"/>
        <w:jc w:val="both"/>
        <w:rPr>
          <w:rFonts w:ascii="Garamond" w:hAnsi="Garamond"/>
          <w:spacing w:val="-3"/>
          <w:lang w:val="pt-BR"/>
        </w:rPr>
      </w:pPr>
    </w:p>
    <w:p w14:paraId="781B5B59" w14:textId="46E6F629"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b/>
          <w:spacing w:val="-3"/>
          <w:lang w:val="pt-BR"/>
        </w:rPr>
        <w:t>5.1.</w:t>
      </w:r>
      <w:r w:rsidRPr="00200C22">
        <w:rPr>
          <w:rFonts w:ascii="Garamond" w:hAnsi="Garamond"/>
          <w:spacing w:val="-3"/>
          <w:lang w:val="pt-BR"/>
        </w:rPr>
        <w:t xml:space="preserve">Seja deferida a antecipação dos efeitos da tutela de urgência, para determinar que o Estado de Goiás se abstenha de cobrar ICMS sobre os valores devidos a título de TUST e TUSD, incidentes sobre as faturas de energia expedidas para o </w:t>
      </w:r>
      <w:r w:rsidRPr="00200C22">
        <w:rPr>
          <w:rFonts w:ascii="Garamond" w:hAnsi="Garamond"/>
          <w:b/>
          <w:spacing w:val="-3"/>
          <w:lang w:val="pt-BR"/>
        </w:rPr>
        <w:t>Código 228632, Unidade Consumidora 12534596</w:t>
      </w:r>
      <w:r w:rsidRPr="00200C22">
        <w:rPr>
          <w:rFonts w:ascii="Garamond" w:hAnsi="Garamond"/>
          <w:spacing w:val="-3"/>
          <w:lang w:val="pt-BR"/>
        </w:rPr>
        <w:t xml:space="preserve">,  suspendendo-se a exigibilidade de tal parcela do tributo </w:t>
      </w:r>
      <w:r w:rsidRPr="00200C22">
        <w:rPr>
          <w:rFonts w:ascii="Garamond" w:hAnsi="Garamond"/>
          <w:i/>
          <w:spacing w:val="-3"/>
          <w:lang w:val="pt-BR"/>
        </w:rPr>
        <w:t>(art. 151, V, CTN)</w:t>
      </w:r>
      <w:r w:rsidRPr="00200C22">
        <w:rPr>
          <w:rFonts w:ascii="Garamond" w:hAnsi="Garamond"/>
          <w:spacing w:val="-3"/>
          <w:lang w:val="pt-BR"/>
        </w:rPr>
        <w:t xml:space="preserve">, oficiando-se a Concessionária CELG DISTRIBUIÇÃO S/A, localizada na Rua 2, Quadra A-37, nº 505, Edifício </w:t>
      </w:r>
      <w:proofErr w:type="spellStart"/>
      <w:r w:rsidRPr="00200C22">
        <w:rPr>
          <w:rFonts w:ascii="Garamond" w:hAnsi="Garamond"/>
          <w:spacing w:val="-3"/>
          <w:lang w:val="pt-BR"/>
        </w:rPr>
        <w:t>Gileno</w:t>
      </w:r>
      <w:proofErr w:type="spellEnd"/>
      <w:r w:rsidRPr="00200C22">
        <w:rPr>
          <w:rFonts w:ascii="Garamond" w:hAnsi="Garamond"/>
          <w:spacing w:val="-3"/>
          <w:lang w:val="pt-BR"/>
        </w:rPr>
        <w:t xml:space="preserve"> Godói, Bairro Jardim Goiás CEP 74.805-180, Goiânia, Estado de Goiás, a fim de esta exclua das faturas de energia elétrica da autora o ICMS sobre as sobreditas tarifas, impedindo-se a imposição por parte do Estado de Goiás de quaisquer medidas coercitivas relacionadas à sua cobrança, dentre as quais o ajuizamento de execuções fiscais, o óbice à emissão da respectiva certidão de regularidade fiscal e a inclusão do nome da autora nos órgão de proteção ao crédito e protesto;</w:t>
      </w:r>
    </w:p>
    <w:p w14:paraId="4C8C68AE" w14:textId="77777777" w:rsidR="00EF4BB9" w:rsidRPr="00200C22" w:rsidRDefault="00EF4BB9" w:rsidP="00EF4BB9">
      <w:pPr>
        <w:spacing w:line="360" w:lineRule="auto"/>
        <w:ind w:firstLine="2835"/>
        <w:jc w:val="both"/>
        <w:rPr>
          <w:rFonts w:ascii="Garamond" w:hAnsi="Garamond"/>
          <w:spacing w:val="-3"/>
          <w:lang w:val="pt-BR"/>
        </w:rPr>
      </w:pPr>
    </w:p>
    <w:p w14:paraId="4198C516" w14:textId="77777777" w:rsidR="00EF4BB9" w:rsidRPr="00200C22" w:rsidRDefault="00EF4BB9" w:rsidP="0001387D">
      <w:pPr>
        <w:spacing w:line="360" w:lineRule="auto"/>
        <w:ind w:firstLine="708"/>
        <w:jc w:val="both"/>
        <w:rPr>
          <w:rStyle w:val="Forte"/>
          <w:rFonts w:ascii="Garamond" w:hAnsi="Garamond"/>
          <w:b w:val="0"/>
          <w:bdr w:val="none" w:sz="0" w:space="0" w:color="auto" w:frame="1"/>
          <w:shd w:val="clear" w:color="auto" w:fill="FFFFFF"/>
          <w:lang w:val="pt-BR"/>
        </w:rPr>
      </w:pPr>
      <w:r w:rsidRPr="00200C22">
        <w:rPr>
          <w:rFonts w:ascii="Garamond" w:hAnsi="Garamond"/>
          <w:b/>
          <w:spacing w:val="-3"/>
          <w:lang w:val="pt-BR"/>
        </w:rPr>
        <w:lastRenderedPageBreak/>
        <w:t>5.2.</w:t>
      </w:r>
      <w:r w:rsidRPr="00200C22">
        <w:rPr>
          <w:rFonts w:ascii="Garamond" w:hAnsi="Garamond"/>
          <w:spacing w:val="-3"/>
          <w:lang w:val="pt-BR"/>
        </w:rPr>
        <w:t xml:space="preserve"> Seja citado o Estado de Goiás, </w:t>
      </w:r>
      <w:r w:rsidRPr="00200C22">
        <w:rPr>
          <w:rFonts w:ascii="Garamond" w:hAnsi="Garamond"/>
          <w:lang w:val="pt-BR"/>
        </w:rPr>
        <w:t xml:space="preserve">na pessoa do </w:t>
      </w:r>
      <w:r w:rsidRPr="00200C22">
        <w:rPr>
          <w:rFonts w:ascii="Garamond" w:hAnsi="Garamond"/>
          <w:b/>
          <w:lang w:val="pt-BR"/>
        </w:rPr>
        <w:t>Procurador Geral do Estado de Goiás</w:t>
      </w:r>
      <w:r w:rsidRPr="00200C22">
        <w:rPr>
          <w:rFonts w:ascii="Garamond" w:hAnsi="Garamond"/>
          <w:lang w:val="pt-BR"/>
        </w:rPr>
        <w:t xml:space="preserve">, lotado na </w:t>
      </w:r>
      <w:r w:rsidRPr="00200C22">
        <w:rPr>
          <w:rFonts w:ascii="Garamond" w:hAnsi="Garamond"/>
          <w:b/>
          <w:lang w:val="pt-BR"/>
        </w:rPr>
        <w:t>Procuradoria Geral do Estado</w:t>
      </w:r>
      <w:r w:rsidRPr="00200C22">
        <w:rPr>
          <w:rFonts w:ascii="Garamond" w:hAnsi="Garamond"/>
          <w:lang w:val="pt-BR"/>
        </w:rPr>
        <w:t xml:space="preserve">, localizada na </w:t>
      </w:r>
      <w:r w:rsidRPr="00200C22">
        <w:rPr>
          <w:rStyle w:val="Forte"/>
          <w:rFonts w:ascii="Garamond" w:hAnsi="Garamond"/>
          <w:b w:val="0"/>
          <w:bdr w:val="none" w:sz="0" w:space="0" w:color="auto" w:frame="1"/>
          <w:shd w:val="clear" w:color="auto" w:fill="FFFFFF"/>
          <w:lang w:val="pt-BR"/>
        </w:rPr>
        <w:t>Praça Dr. Pedro Ludovico Teixeira, n° 03, Centro, Goiânia - Goiás, CEP – 74.003-010;</w:t>
      </w:r>
    </w:p>
    <w:p w14:paraId="1CCDA9B9" w14:textId="77777777" w:rsidR="00EF4BB9" w:rsidRPr="00200C22" w:rsidRDefault="00EF4BB9" w:rsidP="00EF4BB9">
      <w:pPr>
        <w:spacing w:line="360" w:lineRule="auto"/>
        <w:ind w:firstLine="2835"/>
        <w:jc w:val="both"/>
        <w:rPr>
          <w:rStyle w:val="Forte"/>
          <w:rFonts w:ascii="Garamond" w:hAnsi="Garamond"/>
          <w:b w:val="0"/>
          <w:bdr w:val="none" w:sz="0" w:space="0" w:color="auto" w:frame="1"/>
          <w:shd w:val="clear" w:color="auto" w:fill="FFFFFF"/>
          <w:lang w:val="pt-BR"/>
        </w:rPr>
      </w:pPr>
    </w:p>
    <w:p w14:paraId="18F4D1AF" w14:textId="77777777" w:rsidR="00EF4BB9" w:rsidRPr="00200C22" w:rsidRDefault="00EF4BB9" w:rsidP="0001387D">
      <w:pPr>
        <w:spacing w:line="360" w:lineRule="auto"/>
        <w:ind w:firstLine="708"/>
        <w:jc w:val="both"/>
        <w:rPr>
          <w:rFonts w:ascii="Garamond" w:hAnsi="Garamond"/>
          <w:spacing w:val="-3"/>
          <w:lang w:val="pt-BR"/>
        </w:rPr>
      </w:pPr>
      <w:r w:rsidRPr="00200C22">
        <w:rPr>
          <w:rStyle w:val="Forte"/>
          <w:rFonts w:ascii="Garamond" w:hAnsi="Garamond"/>
          <w:bdr w:val="none" w:sz="0" w:space="0" w:color="auto" w:frame="1"/>
          <w:shd w:val="clear" w:color="auto" w:fill="FFFFFF"/>
          <w:lang w:val="pt-BR"/>
        </w:rPr>
        <w:t>5.3.</w:t>
      </w:r>
      <w:r w:rsidRPr="00200C22">
        <w:rPr>
          <w:rFonts w:ascii="Garamond" w:hAnsi="Garamond"/>
          <w:spacing w:val="-3"/>
          <w:lang w:val="pt-BR"/>
        </w:rPr>
        <w:t xml:space="preserve">   No mérito, seja julgada procedente a ação para declarar a inexistência da relação jurídica-tributária entre a autora e o Estado de Goiás, quanto ao recolhimento do ICMS incidente sobre as tarifas TUST e TUSD, definindo-se a base de cálculo do referido tributo, em tais operações, como sendo, </w:t>
      </w:r>
      <w:r w:rsidRPr="00200C22">
        <w:rPr>
          <w:rFonts w:ascii="Garamond" w:hAnsi="Garamond"/>
          <w:b/>
          <w:spacing w:val="-3"/>
          <w:lang w:val="pt-BR"/>
        </w:rPr>
        <w:t>unicamente</w:t>
      </w:r>
      <w:r w:rsidRPr="00200C22">
        <w:rPr>
          <w:rFonts w:ascii="Garamond" w:hAnsi="Garamond"/>
          <w:spacing w:val="-3"/>
          <w:lang w:val="pt-BR"/>
        </w:rPr>
        <w:t>, o montante relativo à energia elétrica efetivamente consumida pela parte;</w:t>
      </w:r>
    </w:p>
    <w:p w14:paraId="031CF840" w14:textId="77777777" w:rsidR="00EF4BB9" w:rsidRPr="00200C22" w:rsidRDefault="00EF4BB9" w:rsidP="00EF4BB9">
      <w:pPr>
        <w:spacing w:line="360" w:lineRule="auto"/>
        <w:ind w:firstLine="2835"/>
        <w:jc w:val="both"/>
        <w:rPr>
          <w:rFonts w:ascii="Garamond" w:hAnsi="Garamond"/>
          <w:spacing w:val="-3"/>
          <w:lang w:val="pt-BR"/>
        </w:rPr>
      </w:pPr>
    </w:p>
    <w:p w14:paraId="096C6248" w14:textId="77777777"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b/>
          <w:spacing w:val="-3"/>
          <w:lang w:val="pt-BR"/>
        </w:rPr>
        <w:t>5.4.</w:t>
      </w:r>
      <w:r w:rsidRPr="00200C22">
        <w:rPr>
          <w:rFonts w:ascii="Garamond" w:hAnsi="Garamond"/>
          <w:spacing w:val="-3"/>
          <w:lang w:val="pt-BR"/>
        </w:rPr>
        <w:t>Consequentemente, requer-se a restituição de todos os valores indevidamente recolhidos pela autora, nos 05 (cinco) anos anteriores ao ajuizamento da presente ação, acrescidos de correção monetária e juros legais, na forma da lei, ou, alternativamente, que o valor apurado em liquidação de sentença, legalmente corrigido, possa ser compensado diretamente na conta gráfica do ICMS da autora;</w:t>
      </w:r>
    </w:p>
    <w:p w14:paraId="1E030C06" w14:textId="77777777" w:rsidR="00EF4BB9" w:rsidRPr="00200C22" w:rsidRDefault="00EF4BB9" w:rsidP="00EF4BB9">
      <w:pPr>
        <w:spacing w:line="360" w:lineRule="auto"/>
        <w:ind w:firstLine="2835"/>
        <w:jc w:val="both"/>
        <w:rPr>
          <w:rFonts w:ascii="Garamond" w:hAnsi="Garamond"/>
          <w:spacing w:val="-3"/>
          <w:lang w:val="pt-BR"/>
        </w:rPr>
      </w:pPr>
    </w:p>
    <w:p w14:paraId="75F0FE8F" w14:textId="42A29879" w:rsidR="00EF4BB9" w:rsidRPr="00200C22" w:rsidRDefault="00EF4BB9" w:rsidP="0001387D">
      <w:pPr>
        <w:spacing w:line="360" w:lineRule="auto"/>
        <w:ind w:firstLine="708"/>
        <w:jc w:val="both"/>
        <w:rPr>
          <w:rFonts w:ascii="Garamond" w:hAnsi="Garamond"/>
          <w:spacing w:val="-3"/>
          <w:lang w:val="pt-BR"/>
        </w:rPr>
      </w:pPr>
      <w:r w:rsidRPr="00200C22">
        <w:rPr>
          <w:rFonts w:ascii="Garamond" w:hAnsi="Garamond"/>
          <w:b/>
          <w:spacing w:val="-3"/>
          <w:lang w:val="pt-BR"/>
        </w:rPr>
        <w:t>5.5.</w:t>
      </w:r>
      <w:r w:rsidR="0001387D">
        <w:rPr>
          <w:rFonts w:ascii="Garamond" w:hAnsi="Garamond"/>
          <w:b/>
          <w:spacing w:val="-3"/>
          <w:lang w:val="pt-BR"/>
        </w:rPr>
        <w:t xml:space="preserve"> </w:t>
      </w:r>
      <w:proofErr w:type="gramStart"/>
      <w:r w:rsidRPr="00200C22">
        <w:rPr>
          <w:rFonts w:ascii="Garamond" w:hAnsi="Garamond"/>
          <w:spacing w:val="-3"/>
          <w:lang w:val="pt-BR"/>
        </w:rPr>
        <w:t>Seja</w:t>
      </w:r>
      <w:proofErr w:type="gramEnd"/>
      <w:r w:rsidRPr="00200C22">
        <w:rPr>
          <w:rFonts w:ascii="Garamond" w:hAnsi="Garamond"/>
          <w:spacing w:val="-3"/>
          <w:lang w:val="pt-BR"/>
        </w:rPr>
        <w:t xml:space="preserve"> condenado o Estado de Goiás ao pagamento das custas processuais e honorários sucumbenciais, na forma da novel legislação processual; </w:t>
      </w:r>
    </w:p>
    <w:p w14:paraId="3962B457" w14:textId="77777777" w:rsidR="00EF4BB9" w:rsidRPr="00200C22" w:rsidRDefault="00EF4BB9" w:rsidP="00EF4BB9">
      <w:pPr>
        <w:spacing w:line="360" w:lineRule="auto"/>
        <w:ind w:firstLine="2835"/>
        <w:jc w:val="both"/>
        <w:rPr>
          <w:rFonts w:ascii="Garamond" w:hAnsi="Garamond"/>
          <w:spacing w:val="-3"/>
          <w:lang w:val="pt-BR"/>
        </w:rPr>
      </w:pPr>
    </w:p>
    <w:p w14:paraId="37139FFC" w14:textId="77777777" w:rsidR="0001387D" w:rsidRDefault="00EF4BB9" w:rsidP="0001387D">
      <w:pPr>
        <w:spacing w:line="360" w:lineRule="auto"/>
        <w:ind w:firstLine="708"/>
        <w:jc w:val="both"/>
        <w:rPr>
          <w:rFonts w:ascii="Garamond" w:hAnsi="Garamond"/>
          <w:spacing w:val="-3"/>
          <w:lang w:val="pt-BR"/>
        </w:rPr>
      </w:pPr>
      <w:r w:rsidRPr="00200C22">
        <w:rPr>
          <w:rFonts w:ascii="Garamond" w:hAnsi="Garamond"/>
          <w:b/>
          <w:spacing w:val="-3"/>
          <w:lang w:val="pt-BR"/>
        </w:rPr>
        <w:t>5.6.</w:t>
      </w:r>
      <w:r w:rsidR="0001387D">
        <w:rPr>
          <w:rFonts w:ascii="Garamond" w:hAnsi="Garamond"/>
          <w:b/>
          <w:spacing w:val="-3"/>
          <w:lang w:val="pt-BR"/>
        </w:rPr>
        <w:t xml:space="preserve"> </w:t>
      </w:r>
      <w:r w:rsidRPr="00200C22">
        <w:rPr>
          <w:rFonts w:ascii="Garamond" w:hAnsi="Garamond"/>
          <w:spacing w:val="-3"/>
          <w:lang w:val="pt-BR"/>
        </w:rPr>
        <w:t>A juntada da inclusa documentação, bem como o deferimento para produção de todas as provas em direito admitidas, as quais poderão ser explicitadas no momento oportuno;</w:t>
      </w:r>
    </w:p>
    <w:p w14:paraId="5B2D2C6C" w14:textId="77777777" w:rsidR="0001387D" w:rsidRDefault="0001387D" w:rsidP="0001387D">
      <w:pPr>
        <w:spacing w:line="360" w:lineRule="auto"/>
        <w:ind w:firstLine="708"/>
        <w:jc w:val="both"/>
        <w:rPr>
          <w:rFonts w:ascii="Garamond" w:hAnsi="Garamond"/>
          <w:spacing w:val="-3"/>
          <w:lang w:val="pt-BR"/>
        </w:rPr>
      </w:pPr>
    </w:p>
    <w:p w14:paraId="5A88B3F1" w14:textId="77777777" w:rsidR="0001387D" w:rsidRDefault="00EF4BB9" w:rsidP="0001387D">
      <w:pPr>
        <w:spacing w:line="360" w:lineRule="auto"/>
        <w:ind w:firstLine="708"/>
        <w:jc w:val="both"/>
        <w:rPr>
          <w:rFonts w:ascii="Garamond" w:hAnsi="Garamond"/>
          <w:spacing w:val="-3"/>
          <w:lang w:val="pt-BR"/>
        </w:rPr>
      </w:pPr>
      <w:r w:rsidRPr="00200C22">
        <w:rPr>
          <w:rFonts w:ascii="Garamond" w:hAnsi="Garamond"/>
          <w:b/>
          <w:iCs/>
          <w:lang w:val="pt-BR"/>
        </w:rPr>
        <w:t>5.7.</w:t>
      </w:r>
      <w:r w:rsidR="0001387D">
        <w:rPr>
          <w:rFonts w:ascii="Garamond" w:hAnsi="Garamond"/>
          <w:b/>
          <w:iCs/>
          <w:lang w:val="pt-BR"/>
        </w:rPr>
        <w:t xml:space="preserve"> </w:t>
      </w:r>
      <w:r w:rsidRPr="00200C22">
        <w:rPr>
          <w:rFonts w:ascii="Garamond" w:hAnsi="Garamond"/>
          <w:iCs/>
          <w:lang w:val="pt-BR"/>
        </w:rPr>
        <w:t xml:space="preserve">Por fim, que todas as intimações doravante expedidas sejam endereçadas, invariavelmente, ao advogado que esta subscreve, </w:t>
      </w:r>
      <w:r w:rsidRPr="00200C22">
        <w:rPr>
          <w:rFonts w:ascii="Garamond" w:hAnsi="Garamond"/>
          <w:b/>
          <w:i/>
          <w:iCs/>
          <w:lang w:val="pt-BR"/>
        </w:rPr>
        <w:t xml:space="preserve">José Luiz </w:t>
      </w:r>
      <w:proofErr w:type="spellStart"/>
      <w:r w:rsidRPr="00200C22">
        <w:rPr>
          <w:rFonts w:ascii="Garamond" w:hAnsi="Garamond"/>
          <w:b/>
          <w:i/>
          <w:iCs/>
          <w:lang w:val="pt-BR"/>
        </w:rPr>
        <w:t>Matthes</w:t>
      </w:r>
      <w:proofErr w:type="spellEnd"/>
      <w:r w:rsidRPr="00200C22">
        <w:rPr>
          <w:rFonts w:ascii="Garamond" w:hAnsi="Garamond"/>
          <w:iCs/>
          <w:lang w:val="pt-BR"/>
        </w:rPr>
        <w:t xml:space="preserve">, brasileiro, casado, advogado, portador da OAB/SP n.º 76.544, com escritório situado na Avenida Presidente Kennedy, n.º 1255, Caixa Postal 435, Nova </w:t>
      </w:r>
      <w:proofErr w:type="spellStart"/>
      <w:r w:rsidRPr="00200C22">
        <w:rPr>
          <w:rFonts w:ascii="Garamond" w:hAnsi="Garamond"/>
          <w:iCs/>
          <w:lang w:val="pt-BR"/>
        </w:rPr>
        <w:t>Ribeirânia</w:t>
      </w:r>
      <w:proofErr w:type="spellEnd"/>
      <w:r w:rsidRPr="00200C22">
        <w:rPr>
          <w:rFonts w:ascii="Garamond" w:hAnsi="Garamond"/>
          <w:iCs/>
          <w:lang w:val="pt-BR"/>
        </w:rPr>
        <w:t>, CEP: 14096-340, Município de Ribeirão Preto, Estado de São Paulo.</w:t>
      </w:r>
    </w:p>
    <w:p w14:paraId="53078617" w14:textId="77777777" w:rsidR="0001387D" w:rsidRDefault="0001387D" w:rsidP="0001387D">
      <w:pPr>
        <w:spacing w:line="360" w:lineRule="auto"/>
        <w:ind w:firstLine="708"/>
        <w:jc w:val="both"/>
        <w:rPr>
          <w:rFonts w:ascii="Garamond" w:hAnsi="Garamond"/>
          <w:spacing w:val="-3"/>
          <w:lang w:val="pt-BR"/>
        </w:rPr>
      </w:pPr>
    </w:p>
    <w:p w14:paraId="0BDB8B11" w14:textId="496C18FD" w:rsidR="00EF4BB9" w:rsidRPr="0001387D" w:rsidRDefault="00EF4BB9" w:rsidP="0001387D">
      <w:pPr>
        <w:spacing w:line="360" w:lineRule="auto"/>
        <w:ind w:firstLine="708"/>
        <w:jc w:val="both"/>
        <w:rPr>
          <w:rFonts w:ascii="Garamond" w:hAnsi="Garamond"/>
          <w:spacing w:val="-3"/>
          <w:lang w:val="pt-BR"/>
        </w:rPr>
      </w:pPr>
      <w:bookmarkStart w:id="0" w:name="_GoBack"/>
      <w:bookmarkEnd w:id="0"/>
      <w:r w:rsidRPr="00200C22">
        <w:rPr>
          <w:rFonts w:ascii="Garamond" w:hAnsi="Garamond"/>
          <w:iCs/>
          <w:lang w:val="pt-BR"/>
        </w:rPr>
        <w:t xml:space="preserve">Dá-se à causa o valor de </w:t>
      </w:r>
      <w:r w:rsidRPr="00200C22">
        <w:rPr>
          <w:rFonts w:ascii="Garamond" w:hAnsi="Garamond"/>
          <w:b/>
          <w:iCs/>
          <w:lang w:val="pt-BR"/>
        </w:rPr>
        <w:t>R$ 118.759,87 (cento e dezoito mil, setecentos e cinquenta e nove reais e oitenta e sete centavos).</w:t>
      </w:r>
    </w:p>
    <w:p w14:paraId="0072CA32" w14:textId="77777777" w:rsidR="00EF4BB9" w:rsidRPr="00200C22" w:rsidRDefault="00EF4BB9" w:rsidP="00EF4BB9">
      <w:pPr>
        <w:spacing w:line="360" w:lineRule="auto"/>
        <w:jc w:val="both"/>
        <w:rPr>
          <w:rFonts w:ascii="Garamond" w:hAnsi="Garamond"/>
          <w:lang w:val="pt-BR"/>
        </w:rPr>
      </w:pPr>
    </w:p>
    <w:p w14:paraId="365401FA" w14:textId="77777777" w:rsidR="00EF4BB9" w:rsidRPr="00200C22" w:rsidRDefault="00EF4BB9" w:rsidP="00EF4BB9">
      <w:pPr>
        <w:pStyle w:val="Corpodetexto"/>
        <w:rPr>
          <w:rFonts w:ascii="Garamond" w:hAnsi="Garamond"/>
          <w:sz w:val="24"/>
          <w:szCs w:val="24"/>
        </w:rPr>
      </w:pPr>
      <w:r w:rsidRPr="00200C22">
        <w:rPr>
          <w:rFonts w:ascii="Garamond" w:hAnsi="Garamond"/>
          <w:sz w:val="24"/>
          <w:szCs w:val="24"/>
        </w:rPr>
        <w:tab/>
      </w:r>
      <w:r w:rsidRPr="00200C22">
        <w:rPr>
          <w:rFonts w:ascii="Garamond" w:hAnsi="Garamond"/>
          <w:sz w:val="24"/>
          <w:szCs w:val="24"/>
        </w:rPr>
        <w:tab/>
      </w:r>
      <w:r w:rsidRPr="00200C22">
        <w:rPr>
          <w:rFonts w:ascii="Garamond" w:hAnsi="Garamond"/>
          <w:sz w:val="24"/>
          <w:szCs w:val="24"/>
        </w:rPr>
        <w:tab/>
      </w:r>
      <w:r w:rsidRPr="00200C22">
        <w:rPr>
          <w:rFonts w:ascii="Garamond" w:hAnsi="Garamond"/>
          <w:sz w:val="24"/>
          <w:szCs w:val="24"/>
        </w:rPr>
        <w:tab/>
      </w:r>
    </w:p>
    <w:p w14:paraId="5F4CC615" w14:textId="77777777" w:rsidR="00EF4BB9" w:rsidRPr="00200C22" w:rsidRDefault="00EF4BB9" w:rsidP="00EF4BB9">
      <w:pPr>
        <w:pStyle w:val="Corpodetexto"/>
        <w:rPr>
          <w:rFonts w:ascii="Garamond" w:hAnsi="Garamond"/>
          <w:sz w:val="24"/>
          <w:szCs w:val="24"/>
        </w:rPr>
      </w:pPr>
    </w:p>
    <w:p w14:paraId="4EC38A6C" w14:textId="2FDC494D" w:rsidR="00EF4BB9" w:rsidRPr="00200C22" w:rsidRDefault="00EF4BB9" w:rsidP="00200C22">
      <w:pPr>
        <w:pStyle w:val="Corpodetexto"/>
        <w:jc w:val="center"/>
        <w:rPr>
          <w:rFonts w:ascii="Garamond" w:hAnsi="Garamond"/>
          <w:sz w:val="24"/>
          <w:szCs w:val="24"/>
        </w:rPr>
      </w:pPr>
      <w:r w:rsidRPr="00200C22">
        <w:rPr>
          <w:rFonts w:ascii="Garamond" w:hAnsi="Garamond"/>
          <w:sz w:val="24"/>
          <w:szCs w:val="24"/>
        </w:rPr>
        <w:t>Termos em que,</w:t>
      </w:r>
    </w:p>
    <w:p w14:paraId="3EA23C29" w14:textId="3AFC6E9F" w:rsidR="00EF4BB9" w:rsidRPr="00200C22" w:rsidRDefault="00EF4BB9" w:rsidP="00200C22">
      <w:pPr>
        <w:pStyle w:val="Corpodetexto"/>
        <w:jc w:val="center"/>
        <w:rPr>
          <w:rFonts w:ascii="Garamond" w:hAnsi="Garamond"/>
          <w:sz w:val="24"/>
          <w:szCs w:val="24"/>
        </w:rPr>
      </w:pPr>
      <w:r w:rsidRPr="00200C22">
        <w:rPr>
          <w:rFonts w:ascii="Garamond" w:hAnsi="Garamond"/>
          <w:sz w:val="24"/>
          <w:szCs w:val="24"/>
        </w:rPr>
        <w:lastRenderedPageBreak/>
        <w:t>Pede deferimento.</w:t>
      </w:r>
    </w:p>
    <w:p w14:paraId="012C8B2E" w14:textId="77777777" w:rsidR="00200C22" w:rsidRPr="00200C22" w:rsidRDefault="00200C22" w:rsidP="00200C22">
      <w:pPr>
        <w:pStyle w:val="Corpodetexto"/>
        <w:jc w:val="center"/>
        <w:rPr>
          <w:rFonts w:ascii="Garamond" w:hAnsi="Garamond"/>
          <w:sz w:val="24"/>
          <w:szCs w:val="24"/>
        </w:rPr>
      </w:pPr>
    </w:p>
    <w:p w14:paraId="70EAB78D" w14:textId="748F1317" w:rsidR="00EF4BB9" w:rsidRPr="00200C22" w:rsidRDefault="00200C22" w:rsidP="00200C22">
      <w:pPr>
        <w:pStyle w:val="Corpodetexto"/>
        <w:jc w:val="center"/>
        <w:rPr>
          <w:rFonts w:ascii="Garamond" w:hAnsi="Garamond"/>
          <w:sz w:val="24"/>
          <w:szCs w:val="24"/>
        </w:rPr>
      </w:pPr>
      <w:r w:rsidRPr="00200C22">
        <w:rPr>
          <w:rFonts w:ascii="Garamond" w:hAnsi="Garamond"/>
          <w:sz w:val="24"/>
          <w:szCs w:val="24"/>
        </w:rPr>
        <w:t>LOCAL/DATA</w:t>
      </w:r>
    </w:p>
    <w:p w14:paraId="77908113" w14:textId="77777777" w:rsidR="00EF4BB9" w:rsidRPr="00200C22" w:rsidRDefault="00EF4BB9" w:rsidP="00EF4BB9">
      <w:pPr>
        <w:pStyle w:val="Corpodetexto"/>
        <w:rPr>
          <w:rFonts w:ascii="Garamond" w:hAnsi="Garamond"/>
          <w:sz w:val="24"/>
          <w:szCs w:val="24"/>
        </w:rPr>
      </w:pPr>
    </w:p>
    <w:p w14:paraId="7DB4A29F" w14:textId="77777777" w:rsidR="00EF4BB9" w:rsidRPr="00200C22" w:rsidRDefault="00EF4BB9" w:rsidP="00EF4BB9">
      <w:pPr>
        <w:tabs>
          <w:tab w:val="left" w:pos="2835"/>
        </w:tabs>
        <w:spacing w:line="360" w:lineRule="auto"/>
        <w:jc w:val="both"/>
        <w:rPr>
          <w:rFonts w:ascii="Garamond" w:hAnsi="Garamond"/>
          <w:spacing w:val="-3"/>
          <w:lang w:val="pt-BR"/>
        </w:rPr>
      </w:pPr>
    </w:p>
    <w:p w14:paraId="16CF93E7" w14:textId="767DFDE2" w:rsidR="00EF4BB9" w:rsidRPr="00200C22" w:rsidRDefault="00200C22" w:rsidP="00200C22">
      <w:pPr>
        <w:pStyle w:val="Corpodetexto"/>
        <w:jc w:val="center"/>
        <w:rPr>
          <w:rFonts w:ascii="Garamond" w:hAnsi="Garamond"/>
          <w:b/>
          <w:iCs/>
          <w:sz w:val="24"/>
          <w:szCs w:val="24"/>
        </w:rPr>
      </w:pPr>
      <w:r w:rsidRPr="00200C22">
        <w:rPr>
          <w:rFonts w:ascii="Garamond" w:hAnsi="Garamond"/>
          <w:b/>
          <w:iCs/>
          <w:sz w:val="24"/>
          <w:szCs w:val="24"/>
        </w:rPr>
        <w:t>ADVOGADO</w:t>
      </w:r>
    </w:p>
    <w:p w14:paraId="5A81D038" w14:textId="0759AF73" w:rsidR="00200C22" w:rsidRPr="00200C22" w:rsidRDefault="00200C22" w:rsidP="00200C22">
      <w:pPr>
        <w:pStyle w:val="Corpodetexto"/>
        <w:jc w:val="center"/>
        <w:rPr>
          <w:rFonts w:ascii="Garamond" w:hAnsi="Garamond"/>
          <w:b/>
          <w:i/>
          <w:sz w:val="24"/>
          <w:szCs w:val="24"/>
        </w:rPr>
      </w:pPr>
      <w:r w:rsidRPr="00200C22">
        <w:rPr>
          <w:rFonts w:ascii="Garamond" w:hAnsi="Garamond"/>
          <w:b/>
          <w:iCs/>
          <w:sz w:val="24"/>
          <w:szCs w:val="24"/>
        </w:rPr>
        <w:t>OAB Nº/UF</w:t>
      </w:r>
    </w:p>
    <w:p w14:paraId="3469B300" w14:textId="77777777" w:rsidR="00EF4BB9" w:rsidRPr="00200C22" w:rsidRDefault="00EF4BB9" w:rsidP="00EF4BB9">
      <w:pPr>
        <w:pStyle w:val="Corpodetexto"/>
        <w:rPr>
          <w:rFonts w:ascii="Garamond" w:hAnsi="Garamond"/>
          <w:b/>
          <w:i/>
          <w:sz w:val="24"/>
          <w:szCs w:val="24"/>
        </w:rPr>
      </w:pPr>
    </w:p>
    <w:p w14:paraId="5604D5AC" w14:textId="77777777" w:rsidR="00EF4BB9" w:rsidRPr="00200C22" w:rsidRDefault="00EF4BB9" w:rsidP="00EF4BB9">
      <w:pPr>
        <w:pStyle w:val="Corpodetexto"/>
        <w:rPr>
          <w:rFonts w:ascii="Garamond" w:hAnsi="Garamond"/>
          <w:b/>
          <w:i/>
          <w:sz w:val="24"/>
          <w:szCs w:val="24"/>
        </w:rPr>
      </w:pPr>
    </w:p>
    <w:p w14:paraId="12861D0D" w14:textId="77777777" w:rsidR="00EF4BB9" w:rsidRPr="00200C22" w:rsidRDefault="00EF4BB9" w:rsidP="00EF4BB9">
      <w:pPr>
        <w:pStyle w:val="Corpodetexto"/>
        <w:rPr>
          <w:rFonts w:ascii="Garamond" w:hAnsi="Garamond"/>
          <w:b/>
          <w:i/>
          <w:sz w:val="24"/>
          <w:szCs w:val="24"/>
        </w:rPr>
      </w:pPr>
    </w:p>
    <w:p w14:paraId="0937BA18" w14:textId="771C110F" w:rsidR="005015EC" w:rsidRPr="00200C22" w:rsidRDefault="00227654">
      <w:pPr>
        <w:pStyle w:val="Corpo"/>
        <w:tabs>
          <w:tab w:val="left" w:pos="416"/>
        </w:tabs>
        <w:spacing w:after="120" w:line="360" w:lineRule="auto"/>
        <w:rPr>
          <w:rFonts w:ascii="Garamond" w:hAnsi="Garamond" w:cs="Times New Roman"/>
          <w:sz w:val="24"/>
          <w:szCs w:val="24"/>
        </w:rPr>
      </w:pPr>
      <w:r w:rsidRPr="00200C22">
        <w:rPr>
          <w:rFonts w:ascii="Garamond" w:hAnsi="Garamond" w:cs="Times New Roman"/>
          <w:b/>
          <w:bCs/>
          <w:sz w:val="24"/>
          <w:szCs w:val="24"/>
        </w:rPr>
        <w:t xml:space="preserve"> </w:t>
      </w:r>
    </w:p>
    <w:sectPr w:rsidR="005015EC" w:rsidRPr="00200C22">
      <w:headerReference w:type="default" r:id="rId6"/>
      <w:footerReference w:type="default" r:id="rId7"/>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3767E" w14:textId="77777777" w:rsidR="00CA0009" w:rsidRDefault="00CA0009">
      <w:r>
        <w:separator/>
      </w:r>
    </w:p>
  </w:endnote>
  <w:endnote w:type="continuationSeparator" w:id="0">
    <w:p w14:paraId="4539BCE9" w14:textId="77777777" w:rsidR="00CA0009" w:rsidRDefault="00CA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1AF6" w14:textId="103EAB07" w:rsidR="005015EC" w:rsidRDefault="005015EC" w:rsidP="00200C22">
    <w:pPr>
      <w:pStyle w:val="Rodap"/>
      <w:tabs>
        <w:tab w:val="clear" w:pos="8504"/>
        <w:tab w:val="right" w:pos="847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0CB8C" w14:textId="77777777" w:rsidR="00CA0009" w:rsidRDefault="00CA0009">
      <w:r>
        <w:separator/>
      </w:r>
    </w:p>
  </w:footnote>
  <w:footnote w:type="continuationSeparator" w:id="0">
    <w:p w14:paraId="5FFC08B0" w14:textId="77777777" w:rsidR="00CA0009" w:rsidRDefault="00CA0009">
      <w:r>
        <w:continuationSeparator/>
      </w:r>
    </w:p>
  </w:footnote>
  <w:footnote w:id="1">
    <w:p w14:paraId="3E152EF9" w14:textId="77777777" w:rsidR="00EF4BB9" w:rsidRPr="00DD6578" w:rsidRDefault="00EF4BB9" w:rsidP="00EF4BB9">
      <w:pPr>
        <w:pStyle w:val="Textodenotaderodap"/>
        <w:jc w:val="both"/>
        <w:rPr>
          <w:rFonts w:ascii="Arial Narrow" w:hAnsi="Arial Narrow"/>
          <w:b/>
          <w:sz w:val="16"/>
          <w:szCs w:val="16"/>
        </w:rPr>
      </w:pPr>
      <w:r w:rsidRPr="00DD6578">
        <w:rPr>
          <w:rStyle w:val="Refdenotaderodap"/>
          <w:rFonts w:ascii="Arial Narrow" w:hAnsi="Arial Narrow"/>
          <w:b/>
          <w:sz w:val="16"/>
          <w:szCs w:val="16"/>
        </w:rPr>
        <w:footnoteRef/>
      </w:r>
      <w:r w:rsidRPr="00DD6578">
        <w:rPr>
          <w:rFonts w:ascii="Arial Narrow" w:hAnsi="Arial Narrow"/>
          <w:b/>
          <w:sz w:val="16"/>
          <w:szCs w:val="16"/>
        </w:rPr>
        <w:t xml:space="preserve">O artigo 14, da Resolução n.º 414/2010, da ANEEL esclarece o momento em que ocorre a transferência de energia: </w:t>
      </w:r>
      <w:r w:rsidRPr="00DD6578">
        <w:rPr>
          <w:rFonts w:ascii="Arial Narrow" w:hAnsi="Arial Narrow"/>
          <w:b/>
          <w:i/>
          <w:sz w:val="16"/>
          <w:szCs w:val="16"/>
        </w:rPr>
        <w:t>“Art. 14. O ponto de entrega é a conexão do sistema elétrico da distribuidora com a unidade consumidora e situa-se no limite da via pública com a propriedade onde esteja localizada a unidade consumidora”</w:t>
      </w:r>
      <w:r w:rsidRPr="00DD6578">
        <w:rPr>
          <w:rFonts w:ascii="Arial Narrow" w:hAnsi="Arial Narrow"/>
          <w:b/>
          <w:sz w:val="16"/>
          <w:szCs w:val="16"/>
        </w:rPr>
        <w:t>.</w:t>
      </w:r>
    </w:p>
  </w:footnote>
  <w:footnote w:id="2">
    <w:p w14:paraId="4DB7E996" w14:textId="77777777" w:rsidR="00EF4BB9" w:rsidRPr="001956FC" w:rsidRDefault="00EF4BB9" w:rsidP="00EF4BB9">
      <w:pPr>
        <w:pStyle w:val="Textodenotaderodap"/>
        <w:rPr>
          <w:rFonts w:ascii="Arial Narrow" w:hAnsi="Arial Narrow" w:cs="Arial"/>
          <w:sz w:val="16"/>
          <w:szCs w:val="16"/>
        </w:rPr>
      </w:pPr>
      <w:r w:rsidRPr="001956FC">
        <w:rPr>
          <w:rStyle w:val="Refdenotaderodap"/>
          <w:rFonts w:ascii="Arial Narrow" w:hAnsi="Arial Narrow" w:cs="Arial"/>
          <w:sz w:val="16"/>
          <w:szCs w:val="16"/>
        </w:rPr>
        <w:footnoteRef/>
      </w:r>
      <w:r w:rsidRPr="001956FC">
        <w:rPr>
          <w:rFonts w:ascii="Arial Narrow" w:hAnsi="Arial Narrow" w:cs="Arial"/>
          <w:sz w:val="16"/>
          <w:szCs w:val="16"/>
        </w:rPr>
        <w:t xml:space="preserve"> - STF, AC 2051/SC, Rel. Min. Joaquim Barbosa, j. 27/05/2008. </w:t>
      </w:r>
    </w:p>
  </w:footnote>
  <w:footnote w:id="3">
    <w:p w14:paraId="2389053F" w14:textId="77777777" w:rsidR="00EF4BB9" w:rsidRPr="001956FC" w:rsidRDefault="00EF4BB9" w:rsidP="00EF4BB9">
      <w:pPr>
        <w:pStyle w:val="Textodenotaderodap"/>
        <w:jc w:val="both"/>
        <w:rPr>
          <w:rFonts w:ascii="Arial Narrow" w:hAnsi="Arial Narrow" w:cs="Arial"/>
          <w:sz w:val="16"/>
          <w:szCs w:val="16"/>
        </w:rPr>
      </w:pPr>
      <w:r w:rsidRPr="001956FC">
        <w:rPr>
          <w:rStyle w:val="Refdenotaderodap"/>
          <w:rFonts w:ascii="Arial Narrow" w:hAnsi="Arial Narrow" w:cs="Arial"/>
          <w:sz w:val="16"/>
          <w:szCs w:val="16"/>
        </w:rPr>
        <w:footnoteRef/>
      </w:r>
      <w:r w:rsidRPr="001956FC">
        <w:rPr>
          <w:rFonts w:ascii="Arial Narrow" w:hAnsi="Arial Narrow" w:cs="Arial"/>
          <w:sz w:val="16"/>
          <w:szCs w:val="16"/>
        </w:rPr>
        <w:t xml:space="preserve"> - </w:t>
      </w:r>
      <w:proofErr w:type="gramStart"/>
      <w:r w:rsidRPr="001956FC">
        <w:rPr>
          <w:rFonts w:ascii="Arial Narrow" w:hAnsi="Arial Narrow" w:cs="Arial"/>
          <w:iCs/>
          <w:sz w:val="16"/>
          <w:szCs w:val="16"/>
        </w:rPr>
        <w:t xml:space="preserve">Apud </w:t>
      </w:r>
      <w:r w:rsidRPr="001956FC">
        <w:rPr>
          <w:rFonts w:ascii="Arial Narrow" w:hAnsi="Arial Narrow" w:cs="Arial"/>
          <w:sz w:val="16"/>
          <w:szCs w:val="16"/>
        </w:rPr>
        <w:t xml:space="preserve"> </w:t>
      </w:r>
      <w:r w:rsidRPr="001956FC">
        <w:rPr>
          <w:rFonts w:ascii="Arial Narrow" w:hAnsi="Arial Narrow" w:cs="Arial"/>
          <w:iCs/>
          <w:sz w:val="16"/>
          <w:szCs w:val="16"/>
        </w:rPr>
        <w:t>"</w:t>
      </w:r>
      <w:proofErr w:type="gramEnd"/>
      <w:r w:rsidRPr="001956FC">
        <w:rPr>
          <w:rFonts w:ascii="Arial Narrow" w:hAnsi="Arial Narrow" w:cs="Arial"/>
          <w:iCs/>
          <w:sz w:val="16"/>
          <w:szCs w:val="16"/>
        </w:rPr>
        <w:t>Recursos ao STJ</w:t>
      </w:r>
      <w:r w:rsidRPr="001956FC">
        <w:rPr>
          <w:rFonts w:ascii="Arial Narrow" w:hAnsi="Arial Narrow" w:cs="Arial"/>
          <w:sz w:val="16"/>
          <w:szCs w:val="16"/>
        </w:rPr>
        <w:t>".  São Paulo: Saraiva, 1991. p. 237.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3D54" w14:textId="2F9F8FC3" w:rsidR="005015EC" w:rsidRDefault="00227654">
    <w:pPr>
      <w:pStyle w:val="Cabealho"/>
      <w:tabs>
        <w:tab w:val="clear" w:pos="8504"/>
        <w:tab w:val="right" w:pos="8478"/>
      </w:tabs>
      <w:jc w:val="cent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EC"/>
    <w:rsid w:val="0001387D"/>
    <w:rsid w:val="00024B58"/>
    <w:rsid w:val="00200C22"/>
    <w:rsid w:val="00227654"/>
    <w:rsid w:val="00231668"/>
    <w:rsid w:val="00265360"/>
    <w:rsid w:val="005015EC"/>
    <w:rsid w:val="00547652"/>
    <w:rsid w:val="00CA0009"/>
    <w:rsid w:val="00CC50F3"/>
    <w:rsid w:val="00EC2904"/>
    <w:rsid w:val="00EF4B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8B3FC1"/>
  <w15:docId w15:val="{896D1269-37FF-A540-B49E-3782FD6D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styleId="Cabealho">
    <w:name w:val="header"/>
    <w:link w:val="CabealhoChar"/>
    <w:pPr>
      <w:tabs>
        <w:tab w:val="center" w:pos="4252"/>
        <w:tab w:val="right" w:pos="8504"/>
      </w:tabs>
    </w:pPr>
    <w:rPr>
      <w:rFonts w:ascii="Calibri" w:hAnsi="Calibri" w:cs="Arial Unicode MS"/>
      <w:color w:val="000000"/>
      <w:sz w:val="22"/>
      <w:szCs w:val="22"/>
      <w:u w:color="000000"/>
      <w:lang w:val="pt-PT"/>
    </w:rPr>
  </w:style>
  <w:style w:type="paragraph" w:styleId="Rodap">
    <w:name w:val="footer"/>
    <w:pPr>
      <w:tabs>
        <w:tab w:val="center" w:pos="4252"/>
        <w:tab w:val="right" w:pos="8504"/>
      </w:tabs>
    </w:pPr>
    <w:rPr>
      <w:rFonts w:ascii="Calibri" w:hAnsi="Calibri" w:cs="Arial Unicode MS"/>
      <w:color w:val="000000"/>
      <w:sz w:val="22"/>
      <w:szCs w:val="22"/>
      <w:u w:color="000000"/>
      <w:lang w:val="pt-PT"/>
    </w:rPr>
  </w:style>
  <w:style w:type="paragraph" w:customStyle="1" w:styleId="Corpo">
    <w:name w:val="Corpo"/>
    <w:pPr>
      <w:spacing w:after="200" w:line="276" w:lineRule="auto"/>
    </w:pPr>
    <w:rPr>
      <w:rFonts w:ascii="Calibri" w:hAnsi="Calibri" w:cs="Arial Unicode MS"/>
      <w:color w:val="000000"/>
      <w:sz w:val="22"/>
      <w:szCs w:val="22"/>
      <w:u w:color="000000"/>
    </w:rPr>
  </w:style>
  <w:style w:type="paragraph" w:styleId="Textodebalo">
    <w:name w:val="Balloon Text"/>
    <w:basedOn w:val="Normal"/>
    <w:link w:val="TextodebaloChar"/>
    <w:uiPriority w:val="99"/>
    <w:semiHidden/>
    <w:unhideWhenUsed/>
    <w:rsid w:val="00227654"/>
    <w:rPr>
      <w:rFonts w:ascii="Lucida Grande" w:hAnsi="Lucida Grande"/>
      <w:sz w:val="18"/>
      <w:szCs w:val="18"/>
    </w:rPr>
  </w:style>
  <w:style w:type="character" w:customStyle="1" w:styleId="TextodebaloChar">
    <w:name w:val="Texto de balão Char"/>
    <w:basedOn w:val="Fontepargpadro"/>
    <w:link w:val="Textodebalo"/>
    <w:uiPriority w:val="99"/>
    <w:semiHidden/>
    <w:rsid w:val="00227654"/>
    <w:rPr>
      <w:rFonts w:ascii="Lucida Grande" w:hAnsi="Lucida Grande"/>
      <w:sz w:val="18"/>
      <w:szCs w:val="18"/>
      <w:lang w:val="en-US"/>
    </w:rPr>
  </w:style>
  <w:style w:type="character" w:customStyle="1" w:styleId="bold">
    <w:name w:val="bold"/>
    <w:basedOn w:val="Fontepargpadro"/>
    <w:rsid w:val="00EC2904"/>
  </w:style>
  <w:style w:type="paragraph" w:styleId="Textodenotaderodap">
    <w:name w:val="footnote text"/>
    <w:basedOn w:val="Normal"/>
    <w:link w:val="TextodenotaderodapChar"/>
    <w:rsid w:val="00EF4BB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szCs w:val="20"/>
      <w:bdr w:val="none" w:sz="0" w:space="0" w:color="auto"/>
      <w:lang w:val="pt-BR" w:eastAsia="pt-BR"/>
    </w:rPr>
  </w:style>
  <w:style w:type="character" w:customStyle="1" w:styleId="TextodenotaderodapChar">
    <w:name w:val="Texto de nota de rodapé Char"/>
    <w:basedOn w:val="Fontepargpadro"/>
    <w:link w:val="Textodenotaderodap"/>
    <w:rsid w:val="00EF4BB9"/>
    <w:rPr>
      <w:rFonts w:ascii="Courier New" w:eastAsia="Times New Roman" w:hAnsi="Courier New"/>
      <w:sz w:val="24"/>
      <w:bdr w:val="none" w:sz="0" w:space="0" w:color="auto"/>
      <w:lang w:eastAsia="pt-BR"/>
    </w:rPr>
  </w:style>
  <w:style w:type="character" w:styleId="Refdenotaderodap">
    <w:name w:val="footnote reference"/>
    <w:rsid w:val="00EF4BB9"/>
    <w:rPr>
      <w:vertAlign w:val="superscript"/>
    </w:rPr>
  </w:style>
  <w:style w:type="paragraph" w:styleId="Corpodetexto">
    <w:name w:val="Body Text"/>
    <w:basedOn w:val="Normal"/>
    <w:link w:val="CorpodetextoChar"/>
    <w:rsid w:val="00EF4BB9"/>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360" w:lineRule="auto"/>
      <w:jc w:val="both"/>
    </w:pPr>
    <w:rPr>
      <w:rFonts w:eastAsia="Times New Roman"/>
      <w:spacing w:val="-3"/>
      <w:sz w:val="25"/>
      <w:szCs w:val="20"/>
      <w:bdr w:val="none" w:sz="0" w:space="0" w:color="auto"/>
      <w:lang w:val="pt-BR" w:eastAsia="pt-BR"/>
    </w:rPr>
  </w:style>
  <w:style w:type="character" w:customStyle="1" w:styleId="CorpodetextoChar">
    <w:name w:val="Corpo de texto Char"/>
    <w:basedOn w:val="Fontepargpadro"/>
    <w:link w:val="Corpodetexto"/>
    <w:rsid w:val="00EF4BB9"/>
    <w:rPr>
      <w:rFonts w:eastAsia="Times New Roman"/>
      <w:spacing w:val="-3"/>
      <w:sz w:val="25"/>
      <w:bdr w:val="none" w:sz="0" w:space="0" w:color="auto"/>
      <w:lang w:eastAsia="pt-BR"/>
    </w:rPr>
  </w:style>
  <w:style w:type="paragraph" w:styleId="Pr-formataoHTML">
    <w:name w:val="HTML Preformatted"/>
    <w:basedOn w:val="Normal"/>
    <w:link w:val="Pr-formataoHTML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sz w:val="20"/>
      <w:szCs w:val="20"/>
      <w:bdr w:val="none" w:sz="0" w:space="0" w:color="auto"/>
      <w:lang w:val="pt-BR" w:eastAsia="pt-BR"/>
    </w:rPr>
  </w:style>
  <w:style w:type="character" w:customStyle="1" w:styleId="Pr-formataoHTMLChar">
    <w:name w:val="Pré-formatação HTML Char"/>
    <w:basedOn w:val="Fontepargpadro"/>
    <w:link w:val="Pr-formataoHTML"/>
    <w:rsid w:val="00EF4BB9"/>
    <w:rPr>
      <w:rFonts w:ascii="Arial Unicode MS" w:hAnsi="Arial Unicode MS"/>
      <w:bdr w:val="none" w:sz="0" w:space="0" w:color="auto"/>
      <w:lang w:eastAsia="pt-BR"/>
    </w:rPr>
  </w:style>
  <w:style w:type="paragraph" w:styleId="Corpodetexto2">
    <w:name w:val="Body Text 2"/>
    <w:basedOn w:val="Normal"/>
    <w:link w:val="Corpodetexto2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460" w:lineRule="atLeast"/>
      <w:jc w:val="both"/>
    </w:pPr>
    <w:rPr>
      <w:rFonts w:ascii="Arial" w:eastAsia="Times New Roman" w:hAnsi="Arial"/>
      <w:spacing w:val="-3"/>
      <w:szCs w:val="20"/>
      <w:bdr w:val="none" w:sz="0" w:space="0" w:color="auto"/>
      <w:lang w:val="pt-BR" w:eastAsia="pt-BR"/>
    </w:rPr>
  </w:style>
  <w:style w:type="character" w:customStyle="1" w:styleId="Corpodetexto2Char">
    <w:name w:val="Corpo de texto 2 Char"/>
    <w:basedOn w:val="Fontepargpadro"/>
    <w:link w:val="Corpodetexto2"/>
    <w:rsid w:val="00EF4BB9"/>
    <w:rPr>
      <w:rFonts w:ascii="Arial" w:eastAsia="Times New Roman" w:hAnsi="Arial"/>
      <w:spacing w:val="-3"/>
      <w:sz w:val="24"/>
      <w:bdr w:val="none" w:sz="0" w:space="0" w:color="auto"/>
      <w:lang w:eastAsia="pt-BR"/>
    </w:rPr>
  </w:style>
  <w:style w:type="paragraph" w:styleId="Corpodetexto3">
    <w:name w:val="Body Text 3"/>
    <w:basedOn w:val="Normal"/>
    <w:link w:val="Corpodetexto3Char"/>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spacing w:line="360" w:lineRule="auto"/>
      <w:jc w:val="both"/>
    </w:pPr>
    <w:rPr>
      <w:rFonts w:eastAsia="Times New Roman"/>
      <w:spacing w:val="-3"/>
      <w:sz w:val="26"/>
      <w:szCs w:val="20"/>
      <w:bdr w:val="none" w:sz="0" w:space="0" w:color="auto"/>
      <w:lang w:val="pt-BR" w:eastAsia="pt-BR"/>
    </w:rPr>
  </w:style>
  <w:style w:type="character" w:customStyle="1" w:styleId="Corpodetexto3Char">
    <w:name w:val="Corpo de texto 3 Char"/>
    <w:basedOn w:val="Fontepargpadro"/>
    <w:link w:val="Corpodetexto3"/>
    <w:rsid w:val="00EF4BB9"/>
    <w:rPr>
      <w:rFonts w:eastAsia="Times New Roman"/>
      <w:spacing w:val="-3"/>
      <w:sz w:val="26"/>
      <w:bdr w:val="none" w:sz="0" w:space="0" w:color="auto"/>
      <w:lang w:eastAsia="pt-BR"/>
    </w:rPr>
  </w:style>
  <w:style w:type="character" w:styleId="Forte">
    <w:name w:val="Strong"/>
    <w:qFormat/>
    <w:rsid w:val="00EF4BB9"/>
    <w:rPr>
      <w:b/>
      <w:bCs/>
    </w:rPr>
  </w:style>
  <w:style w:type="paragraph" w:styleId="NormalWeb">
    <w:name w:val="Normal (Web)"/>
    <w:basedOn w:val="Normal"/>
    <w:uiPriority w:val="99"/>
    <w:rsid w:val="00EF4BB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Arial Unicode MS" w:hAnsi="Arial Unicode MS" w:cs="Arial Unicode MS"/>
      <w:color w:val="000000"/>
      <w:bdr w:val="none" w:sz="0" w:space="0" w:color="auto"/>
      <w:lang w:val="pt-BR" w:eastAsia="pt-BR"/>
    </w:rPr>
  </w:style>
  <w:style w:type="character" w:customStyle="1" w:styleId="CabealhoChar">
    <w:name w:val="Cabeçalho Char"/>
    <w:link w:val="Cabealho"/>
    <w:rsid w:val="00EF4BB9"/>
    <w:rPr>
      <w:rFonts w:ascii="Calibri" w:hAnsi="Calibri" w:cs="Arial Unicode MS"/>
      <w:color w:val="000000"/>
      <w:sz w:val="22"/>
      <w:szCs w:val="22"/>
      <w:u w:color="000000"/>
      <w:lang w:val="pt-PT"/>
    </w:rPr>
  </w:style>
  <w:style w:type="paragraph" w:styleId="Citao">
    <w:name w:val="Quote"/>
    <w:basedOn w:val="Normal"/>
    <w:link w:val="CitaoChar"/>
    <w:qFormat/>
    <w:rsid w:val="00EF4BB9"/>
    <w:pPr>
      <w:pBdr>
        <w:top w:val="none" w:sz="0" w:space="0" w:color="auto"/>
        <w:left w:val="none" w:sz="0" w:space="0" w:color="auto"/>
        <w:bottom w:val="none" w:sz="0" w:space="0" w:color="auto"/>
        <w:right w:val="none" w:sz="0" w:space="0" w:color="auto"/>
        <w:between w:val="none" w:sz="0" w:space="0" w:color="auto"/>
        <w:bar w:val="none" w:sz="0" w:color="auto"/>
      </w:pBdr>
      <w:tabs>
        <w:tab w:val="left" w:pos="3969"/>
      </w:tabs>
      <w:spacing w:before="240" w:after="240"/>
      <w:ind w:left="2268" w:right="851"/>
      <w:jc w:val="both"/>
    </w:pPr>
    <w:rPr>
      <w:rFonts w:eastAsia="Times New Roman"/>
      <w:i/>
      <w:sz w:val="28"/>
      <w:szCs w:val="20"/>
      <w:bdr w:val="none" w:sz="0" w:space="0" w:color="auto"/>
      <w:lang w:val="pt-BR" w:eastAsia="pt-BR"/>
    </w:rPr>
  </w:style>
  <w:style w:type="character" w:customStyle="1" w:styleId="CitaoChar">
    <w:name w:val="Citação Char"/>
    <w:basedOn w:val="Fontepargpadro"/>
    <w:link w:val="Citao"/>
    <w:rsid w:val="00EF4BB9"/>
    <w:rPr>
      <w:rFonts w:eastAsia="Times New Roman"/>
      <w:i/>
      <w:sz w:val="28"/>
      <w:bdr w:val="none" w:sz="0" w:space="0" w:color="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4628</Words>
  <Characters>24993</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Neto</cp:lastModifiedBy>
  <cp:revision>3</cp:revision>
  <dcterms:created xsi:type="dcterms:W3CDTF">2019-02-20T19:20:00Z</dcterms:created>
  <dcterms:modified xsi:type="dcterms:W3CDTF">2019-06-04T18:03:00Z</dcterms:modified>
</cp:coreProperties>
</file>