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155" w:rsidRPr="00D05C43" w:rsidRDefault="00383155" w:rsidP="00D05C43">
      <w:pPr>
        <w:pStyle w:val="NormalWeb"/>
        <w:shd w:val="clear" w:color="auto" w:fill="FFFFFF"/>
        <w:spacing w:before="0" w:beforeAutospacing="0" w:after="300" w:afterAutospacing="0" w:line="360" w:lineRule="auto"/>
        <w:jc w:val="both"/>
        <w:rPr>
          <w:rFonts w:ascii="Garamond" w:hAnsi="Garamond" w:cs="Tahoma"/>
          <w:spacing w:val="2"/>
        </w:rPr>
      </w:pPr>
      <w:bookmarkStart w:id="0" w:name="_Hlk482884766"/>
      <w:r w:rsidRPr="00D05C43">
        <w:rPr>
          <w:rFonts w:ascii="Garamond" w:hAnsi="Garamond" w:cs="Tahoma"/>
          <w:b/>
          <w:bCs/>
          <w:spacing w:val="2"/>
        </w:rPr>
        <w:t>EXCELENTÍSSIMO SENHOR DOUTOR JUIZ DE DIREITO DA ____ª VARA CÍVEL (JUIZADO ESPECIAL) DA COMARCA DE CIDADE-ESTADO</w:t>
      </w:r>
    </w:p>
    <w:bookmarkEnd w:id="0"/>
    <w:p w:rsidR="00383155" w:rsidRPr="00D05C43" w:rsidRDefault="00383155" w:rsidP="00D05C43">
      <w:pPr>
        <w:pStyle w:val="NormalWeb"/>
        <w:shd w:val="clear" w:color="auto" w:fill="FFFFFF"/>
        <w:spacing w:before="240" w:beforeAutospacing="0" w:after="0" w:afterAutospacing="0" w:line="360" w:lineRule="auto"/>
        <w:jc w:val="both"/>
        <w:rPr>
          <w:rFonts w:ascii="Garamond" w:hAnsi="Garamond" w:cs="Tahoma"/>
          <w:b/>
          <w:bCs/>
          <w:spacing w:val="2"/>
        </w:rPr>
      </w:pPr>
    </w:p>
    <w:p w:rsidR="00194A8D" w:rsidRPr="00D05C43" w:rsidRDefault="00194A8D" w:rsidP="00D05C43">
      <w:pPr>
        <w:spacing w:line="360" w:lineRule="auto"/>
        <w:jc w:val="both"/>
        <w:rPr>
          <w:rFonts w:ascii="Garamond" w:hAnsi="Garamond" w:cs="Tahoma"/>
          <w:sz w:val="24"/>
          <w:szCs w:val="24"/>
        </w:rPr>
      </w:pPr>
    </w:p>
    <w:p w:rsidR="00194A8D" w:rsidRPr="00D05C43" w:rsidRDefault="00194A8D" w:rsidP="00D05C43">
      <w:pPr>
        <w:spacing w:line="360" w:lineRule="auto"/>
        <w:jc w:val="both"/>
        <w:rPr>
          <w:rFonts w:ascii="Garamond" w:hAnsi="Garamond" w:cs="Tahoma"/>
          <w:sz w:val="24"/>
          <w:szCs w:val="24"/>
        </w:rPr>
      </w:pPr>
    </w:p>
    <w:p w:rsidR="00194A8D" w:rsidRPr="00D05C43" w:rsidRDefault="00194A8D" w:rsidP="00D05C43">
      <w:pPr>
        <w:spacing w:line="360" w:lineRule="auto"/>
        <w:jc w:val="both"/>
        <w:rPr>
          <w:rFonts w:ascii="Garamond" w:hAnsi="Garamond" w:cs="Tahoma"/>
          <w:sz w:val="24"/>
          <w:szCs w:val="24"/>
        </w:rPr>
      </w:pPr>
    </w:p>
    <w:p w:rsidR="00C7254A" w:rsidRPr="00D05C43" w:rsidRDefault="00C7254A" w:rsidP="00D05C43">
      <w:pPr>
        <w:spacing w:line="360" w:lineRule="auto"/>
        <w:jc w:val="both"/>
        <w:rPr>
          <w:rFonts w:ascii="Garamond" w:hAnsi="Garamond" w:cs="Tahoma"/>
          <w:b/>
          <w:sz w:val="24"/>
          <w:szCs w:val="24"/>
        </w:rPr>
      </w:pPr>
      <w:r w:rsidRPr="00D05C43">
        <w:rPr>
          <w:rFonts w:ascii="Garamond" w:hAnsi="Garamond" w:cs="Tahoma"/>
          <w:b/>
          <w:sz w:val="24"/>
          <w:szCs w:val="24"/>
        </w:rPr>
        <w:t>Processo</w:t>
      </w:r>
      <w:r w:rsidR="00383155" w:rsidRPr="00D05C43">
        <w:rPr>
          <w:rFonts w:ascii="Garamond" w:hAnsi="Garamond" w:cs="Tahoma"/>
          <w:b/>
          <w:sz w:val="24"/>
          <w:szCs w:val="24"/>
        </w:rPr>
        <w:t>: ...</w:t>
      </w:r>
    </w:p>
    <w:p w:rsidR="00194A8D" w:rsidRPr="00D05C43" w:rsidRDefault="00194A8D" w:rsidP="00D05C43">
      <w:pPr>
        <w:spacing w:line="360" w:lineRule="auto"/>
        <w:jc w:val="both"/>
        <w:rPr>
          <w:rFonts w:ascii="Garamond" w:hAnsi="Garamond" w:cs="Tahoma"/>
          <w:sz w:val="24"/>
          <w:szCs w:val="24"/>
        </w:rPr>
      </w:pPr>
    </w:p>
    <w:p w:rsidR="00C7254A" w:rsidRPr="00D05C43" w:rsidRDefault="00383155" w:rsidP="00D05C43">
      <w:pPr>
        <w:spacing w:line="360" w:lineRule="auto"/>
        <w:jc w:val="both"/>
        <w:rPr>
          <w:rFonts w:ascii="Garamond" w:hAnsi="Garamond" w:cs="Tahoma"/>
          <w:sz w:val="24"/>
          <w:szCs w:val="24"/>
        </w:rPr>
      </w:pPr>
      <w:r w:rsidRPr="00D05C43">
        <w:rPr>
          <w:rFonts w:ascii="Garamond" w:hAnsi="Garamond" w:cs="Tahoma"/>
          <w:b/>
          <w:sz w:val="24"/>
          <w:szCs w:val="24"/>
        </w:rPr>
        <w:t>... (nome da parte em negrito)</w:t>
      </w:r>
      <w:r w:rsidR="00C7254A" w:rsidRPr="00D05C43">
        <w:rPr>
          <w:rFonts w:ascii="Garamond" w:hAnsi="Garamond" w:cs="Tahoma"/>
          <w:sz w:val="24"/>
          <w:szCs w:val="24"/>
        </w:rPr>
        <w:t>, por se</w:t>
      </w:r>
      <w:r w:rsidRPr="00D05C43">
        <w:rPr>
          <w:rFonts w:ascii="Garamond" w:hAnsi="Garamond" w:cs="Tahoma"/>
          <w:sz w:val="24"/>
          <w:szCs w:val="24"/>
        </w:rPr>
        <w:t>us advogados, nos autos da ...</w:t>
      </w:r>
      <w:r w:rsidR="00C7254A" w:rsidRPr="00D05C43">
        <w:rPr>
          <w:rFonts w:ascii="Garamond" w:hAnsi="Garamond" w:cs="Tahoma"/>
          <w:sz w:val="24"/>
          <w:szCs w:val="24"/>
        </w:rPr>
        <w:t xml:space="preserve">, que lhe move </w:t>
      </w:r>
      <w:r w:rsidRPr="00D05C43">
        <w:rPr>
          <w:rFonts w:ascii="Garamond" w:hAnsi="Garamond" w:cs="Tahoma"/>
          <w:sz w:val="24"/>
          <w:szCs w:val="24"/>
        </w:rPr>
        <w:t>...</w:t>
      </w:r>
      <w:r w:rsidR="00C7254A" w:rsidRPr="00D05C43">
        <w:rPr>
          <w:rFonts w:ascii="Garamond" w:hAnsi="Garamond" w:cs="Tahoma"/>
          <w:sz w:val="24"/>
          <w:szCs w:val="24"/>
        </w:rPr>
        <w:t>, em trâmite perante esse e. Juízo, vem, respeitosamente, à presença de Vossa Excelência, apresentar, tempestivamente,</w:t>
      </w:r>
    </w:p>
    <w:p w:rsidR="00194A8D" w:rsidRPr="00D05C43" w:rsidRDefault="00194A8D" w:rsidP="00D05C43">
      <w:pPr>
        <w:spacing w:line="360" w:lineRule="auto"/>
        <w:jc w:val="both"/>
        <w:rPr>
          <w:rFonts w:ascii="Garamond" w:hAnsi="Garamond" w:cs="Tahoma"/>
          <w:sz w:val="24"/>
          <w:szCs w:val="24"/>
        </w:rPr>
      </w:pPr>
    </w:p>
    <w:p w:rsidR="00C7254A" w:rsidRPr="00D05C43" w:rsidRDefault="00383155" w:rsidP="00D05C43">
      <w:pPr>
        <w:spacing w:line="360" w:lineRule="auto"/>
        <w:jc w:val="center"/>
        <w:rPr>
          <w:rFonts w:ascii="Garamond" w:hAnsi="Garamond" w:cs="Tahoma"/>
          <w:b/>
          <w:sz w:val="24"/>
          <w:szCs w:val="24"/>
        </w:rPr>
      </w:pPr>
      <w:r w:rsidRPr="00D05C43">
        <w:rPr>
          <w:rFonts w:ascii="Garamond" w:hAnsi="Garamond" w:cs="Tahoma"/>
          <w:b/>
          <w:sz w:val="24"/>
          <w:szCs w:val="24"/>
        </w:rPr>
        <w:t>EMBARGOS DE DECLARAÇÃO</w:t>
      </w:r>
    </w:p>
    <w:p w:rsidR="00194A8D" w:rsidRPr="00D05C43" w:rsidRDefault="00194A8D" w:rsidP="00D05C43">
      <w:pPr>
        <w:spacing w:line="360" w:lineRule="auto"/>
        <w:jc w:val="center"/>
        <w:rPr>
          <w:rFonts w:ascii="Garamond" w:hAnsi="Garamond" w:cs="Tahoma"/>
          <w:sz w:val="24"/>
          <w:szCs w:val="24"/>
        </w:rPr>
      </w:pPr>
    </w:p>
    <w:p w:rsidR="00C7254A" w:rsidRPr="00D05C43" w:rsidRDefault="00C7254A" w:rsidP="00D05C43">
      <w:pPr>
        <w:spacing w:line="360" w:lineRule="auto"/>
        <w:jc w:val="both"/>
        <w:rPr>
          <w:rFonts w:ascii="Garamond" w:hAnsi="Garamond" w:cs="Tahoma"/>
          <w:sz w:val="24"/>
          <w:szCs w:val="24"/>
        </w:rPr>
      </w:pPr>
      <w:r w:rsidRPr="00D05C43">
        <w:rPr>
          <w:rFonts w:ascii="Garamond" w:hAnsi="Garamond" w:cs="Tahoma"/>
          <w:sz w:val="24"/>
          <w:szCs w:val="24"/>
        </w:rPr>
        <w:t>o que faz com fundamento no artigo 535, I (II e/ou III) do Código de Processo Civil e pelas razões a seguir aduzidas.</w:t>
      </w:r>
    </w:p>
    <w:p w:rsidR="00194A8D" w:rsidRDefault="00194A8D" w:rsidP="00D05C43">
      <w:pPr>
        <w:spacing w:line="360" w:lineRule="auto"/>
        <w:jc w:val="both"/>
        <w:rPr>
          <w:rFonts w:ascii="Garamond" w:hAnsi="Garamond" w:cs="Tahoma"/>
          <w:sz w:val="24"/>
          <w:szCs w:val="24"/>
        </w:rPr>
      </w:pPr>
    </w:p>
    <w:p w:rsidR="009674C7" w:rsidRPr="00A23AFD" w:rsidRDefault="009674C7" w:rsidP="009674C7">
      <w:pPr>
        <w:spacing w:line="360" w:lineRule="auto"/>
        <w:jc w:val="both"/>
        <w:rPr>
          <w:rFonts w:ascii="Garamond" w:hAnsi="Garamond" w:cs="Tahoma"/>
          <w:color w:val="000000" w:themeColor="text1"/>
          <w:sz w:val="24"/>
          <w:szCs w:val="24"/>
        </w:rPr>
      </w:pPr>
      <w:r>
        <w:rPr>
          <w:rFonts w:ascii="Garamond" w:hAnsi="Garamond" w:cs="Tahoma"/>
          <w:b/>
          <w:bCs/>
          <w:color w:val="000000" w:themeColor="text1"/>
          <w:sz w:val="24"/>
          <w:szCs w:val="24"/>
        </w:rPr>
        <w:t>DA TEMPESTIVIDADE</w:t>
      </w:r>
    </w:p>
    <w:p w:rsidR="009674C7" w:rsidRDefault="009674C7" w:rsidP="009674C7">
      <w:pPr>
        <w:spacing w:line="360" w:lineRule="auto"/>
        <w:ind w:firstLine="708"/>
        <w:jc w:val="both"/>
        <w:rPr>
          <w:rFonts w:ascii="Garamond" w:hAnsi="Garamond" w:cs="Tahoma"/>
          <w:color w:val="000000" w:themeColor="text1"/>
          <w:sz w:val="24"/>
          <w:szCs w:val="24"/>
        </w:rPr>
      </w:pPr>
      <w:r w:rsidRPr="00A23AFD">
        <w:rPr>
          <w:rFonts w:ascii="Garamond" w:hAnsi="Garamond" w:cs="Tahoma"/>
          <w:color w:val="000000" w:themeColor="text1"/>
          <w:sz w:val="24"/>
          <w:szCs w:val="24"/>
        </w:rPr>
        <w:t>O presente recurso é próprio, tempestivo,</w:t>
      </w:r>
      <w:r>
        <w:rPr>
          <w:rFonts w:ascii="Garamond" w:hAnsi="Garamond" w:cs="Tahoma"/>
          <w:color w:val="000000" w:themeColor="text1"/>
          <w:sz w:val="24"/>
          <w:szCs w:val="24"/>
        </w:rPr>
        <w:t xml:space="preserve"> uma vez que a sentença fora publicada na data de -------, tendo sido estes embargos protocolados no dia de -----, dentro do prazo de 05 dias estabelecidos no art. 1023 do Código de Processo Civil.</w:t>
      </w:r>
    </w:p>
    <w:p w:rsidR="009674C7" w:rsidRPr="00D05C43" w:rsidRDefault="009674C7" w:rsidP="00D05C43">
      <w:pPr>
        <w:spacing w:line="360" w:lineRule="auto"/>
        <w:jc w:val="both"/>
        <w:rPr>
          <w:rFonts w:ascii="Garamond" w:hAnsi="Garamond" w:cs="Tahoma"/>
          <w:sz w:val="24"/>
          <w:szCs w:val="24"/>
        </w:rPr>
      </w:pPr>
    </w:p>
    <w:p w:rsidR="00C7254A" w:rsidRPr="00D05C43" w:rsidRDefault="00191CBC" w:rsidP="00D05C43">
      <w:pPr>
        <w:spacing w:line="360" w:lineRule="auto"/>
        <w:jc w:val="both"/>
        <w:rPr>
          <w:rFonts w:ascii="Garamond" w:hAnsi="Garamond" w:cs="Tahoma"/>
          <w:b/>
          <w:sz w:val="24"/>
          <w:szCs w:val="24"/>
        </w:rPr>
      </w:pPr>
      <w:r>
        <w:rPr>
          <w:rFonts w:ascii="Garamond" w:hAnsi="Garamond" w:cs="Tahoma"/>
          <w:b/>
          <w:sz w:val="24"/>
          <w:szCs w:val="24"/>
        </w:rPr>
        <w:t>DO OBJETO RECURSAL</w:t>
      </w:r>
    </w:p>
    <w:p w:rsidR="00C7254A" w:rsidRPr="00D05C43" w:rsidRDefault="00383155" w:rsidP="00191CBC">
      <w:pPr>
        <w:spacing w:line="360" w:lineRule="auto"/>
        <w:jc w:val="both"/>
        <w:rPr>
          <w:rFonts w:ascii="Garamond" w:hAnsi="Garamond" w:cs="Tahoma"/>
          <w:sz w:val="24"/>
          <w:szCs w:val="24"/>
        </w:rPr>
      </w:pPr>
      <w:r w:rsidRPr="00D05C43">
        <w:rPr>
          <w:rFonts w:ascii="Garamond" w:hAnsi="Garamond" w:cs="Tahoma"/>
          <w:sz w:val="24"/>
          <w:szCs w:val="24"/>
        </w:rPr>
        <w:tab/>
      </w:r>
      <w:r w:rsidR="00191CBC">
        <w:rPr>
          <w:rFonts w:ascii="Garamond" w:hAnsi="Garamond" w:cs="Tahoma"/>
          <w:sz w:val="24"/>
          <w:szCs w:val="24"/>
        </w:rPr>
        <w:t xml:space="preserve">Ocorre que ao proferir o julgamento da demanda, este ilustre juízo, deixou de fixar honorários advocatícios sucumbenciais, nos termos do art. </w:t>
      </w:r>
      <w:r w:rsidR="00100B7B">
        <w:rPr>
          <w:rFonts w:ascii="Garamond" w:hAnsi="Garamond" w:cs="Tahoma"/>
          <w:sz w:val="24"/>
          <w:szCs w:val="24"/>
        </w:rPr>
        <w:t>85 do NCPC.</w:t>
      </w:r>
    </w:p>
    <w:p w:rsidR="00C7254A" w:rsidRPr="00D05C43" w:rsidRDefault="00383155" w:rsidP="00D05C43">
      <w:pPr>
        <w:spacing w:line="360" w:lineRule="auto"/>
        <w:jc w:val="both"/>
        <w:rPr>
          <w:rFonts w:ascii="Garamond" w:hAnsi="Garamond" w:cs="Tahoma"/>
          <w:sz w:val="24"/>
          <w:szCs w:val="24"/>
        </w:rPr>
      </w:pPr>
      <w:r w:rsidRPr="00D05C43">
        <w:rPr>
          <w:rFonts w:ascii="Garamond" w:hAnsi="Garamond" w:cs="Tahoma"/>
          <w:sz w:val="24"/>
          <w:szCs w:val="24"/>
        </w:rPr>
        <w:lastRenderedPageBreak/>
        <w:tab/>
      </w:r>
      <w:r w:rsidR="00C7254A" w:rsidRPr="00D05C43">
        <w:rPr>
          <w:rFonts w:ascii="Garamond" w:hAnsi="Garamond" w:cs="Tahoma"/>
          <w:sz w:val="24"/>
          <w:szCs w:val="24"/>
        </w:rPr>
        <w:t xml:space="preserve">Assim, </w:t>
      </w:r>
      <w:r w:rsidR="00100B7B">
        <w:rPr>
          <w:rFonts w:ascii="Garamond" w:hAnsi="Garamond" w:cs="Tahoma"/>
          <w:sz w:val="24"/>
          <w:szCs w:val="24"/>
        </w:rPr>
        <w:t>se fez ausente</w:t>
      </w:r>
      <w:r w:rsidR="00C7254A" w:rsidRPr="00D05C43">
        <w:rPr>
          <w:rFonts w:ascii="Garamond" w:hAnsi="Garamond" w:cs="Tahoma"/>
          <w:sz w:val="24"/>
          <w:szCs w:val="24"/>
        </w:rPr>
        <w:t>, inclusive, a necessária fundamentação exigida pelo art. 489, § do Código de Processo Civil.</w:t>
      </w:r>
    </w:p>
    <w:p w:rsidR="00100B7B" w:rsidRDefault="00383155" w:rsidP="00D05C43">
      <w:pPr>
        <w:spacing w:line="360" w:lineRule="auto"/>
        <w:jc w:val="both"/>
        <w:rPr>
          <w:rFonts w:ascii="Garamond" w:hAnsi="Garamond" w:cs="Tahoma"/>
          <w:sz w:val="24"/>
          <w:szCs w:val="24"/>
        </w:rPr>
      </w:pPr>
      <w:r w:rsidRPr="00D05C43">
        <w:rPr>
          <w:rFonts w:ascii="Garamond" w:hAnsi="Garamond" w:cs="Tahoma"/>
          <w:sz w:val="24"/>
          <w:szCs w:val="24"/>
        </w:rPr>
        <w:tab/>
      </w:r>
      <w:r w:rsidR="00C7254A" w:rsidRPr="00D05C43">
        <w:rPr>
          <w:rFonts w:ascii="Garamond" w:hAnsi="Garamond" w:cs="Tahoma"/>
          <w:sz w:val="24"/>
          <w:szCs w:val="24"/>
        </w:rPr>
        <w:t xml:space="preserve">Desta forma, conforme se verifica dos trechos destacados no decisório e acima copiados, </w:t>
      </w:r>
      <w:r w:rsidR="00100B7B">
        <w:rPr>
          <w:rFonts w:ascii="Garamond" w:hAnsi="Garamond" w:cs="Tahoma"/>
          <w:sz w:val="24"/>
          <w:szCs w:val="24"/>
        </w:rPr>
        <w:t>resta claro que necessita ser fixado honorários sucumbenciais.</w:t>
      </w:r>
    </w:p>
    <w:p w:rsidR="00750002" w:rsidRDefault="00750002" w:rsidP="00D05C43">
      <w:pPr>
        <w:spacing w:line="360" w:lineRule="auto"/>
        <w:jc w:val="both"/>
        <w:rPr>
          <w:rFonts w:ascii="Garamond" w:hAnsi="Garamond" w:cs="Tahoma"/>
          <w:sz w:val="24"/>
          <w:szCs w:val="24"/>
        </w:rPr>
      </w:pPr>
      <w:r>
        <w:rPr>
          <w:rFonts w:ascii="Garamond" w:hAnsi="Garamond" w:cs="Tahoma"/>
          <w:sz w:val="24"/>
          <w:szCs w:val="24"/>
        </w:rPr>
        <w:tab/>
        <w:t>Importante destacar a jurisprudência pátria a respeito da matéria:</w:t>
      </w:r>
    </w:p>
    <w:p w:rsidR="00750002" w:rsidRPr="00750002" w:rsidRDefault="00750002" w:rsidP="00191CBC">
      <w:pPr>
        <w:spacing w:after="100" w:afterAutospacing="1" w:line="360" w:lineRule="auto"/>
        <w:ind w:left="1416"/>
        <w:jc w:val="both"/>
        <w:rPr>
          <w:rFonts w:ascii="Garamond" w:eastAsia="Times New Roman" w:hAnsi="Garamond" w:cs="Times New Roman"/>
          <w:spacing w:val="2"/>
          <w:sz w:val="24"/>
          <w:szCs w:val="24"/>
          <w:lang w:eastAsia="pt-BR"/>
        </w:rPr>
      </w:pPr>
      <w:r w:rsidRPr="00750002">
        <w:rPr>
          <w:rFonts w:ascii="Garamond" w:eastAsia="Times New Roman" w:hAnsi="Garamond" w:cs="Times New Roman"/>
          <w:spacing w:val="2"/>
          <w:sz w:val="24"/>
          <w:szCs w:val="24"/>
          <w:lang w:eastAsia="pt-BR"/>
        </w:rPr>
        <w:t>PROCESSO CIVIL. EMBARGOS DE DECLARAÇÃO NA AÇÃO RESCISÓRIA. VERBA HONORÁRIA. OMISSÃO. OCORRÊNCIA. EMBARGOS ACOLHIDOS. 1. Os embargos de declaração, a teor do art. 1.022 do Código de Processo Civil, não são meio próprio ao reexame da causa, devendo limitar-se ao esclarecimento de obscuridade, contradição, omissão ou à existência de erro material no julgado. 2. Hipótese em que se verifica omissão no decisum, em relação à verba honorária. 3. "Os honorários nascem contemporaneamente à sentença e não preexistem à propositura da demanda. Assim sendo, nos casos de sentença proferida a partir do dia 18.3.2016, aplicar-se-ão as normas do CPC/2015" (</w:t>
      </w:r>
      <w:proofErr w:type="spellStart"/>
      <w:r w:rsidRPr="00750002">
        <w:rPr>
          <w:rFonts w:ascii="Garamond" w:eastAsia="Times New Roman" w:hAnsi="Garamond" w:cs="Times New Roman"/>
          <w:spacing w:val="2"/>
          <w:sz w:val="24"/>
          <w:szCs w:val="24"/>
          <w:lang w:eastAsia="pt-BR"/>
        </w:rPr>
        <w:t>REsp</w:t>
      </w:r>
      <w:proofErr w:type="spellEnd"/>
      <w:r w:rsidRPr="00750002">
        <w:rPr>
          <w:rFonts w:ascii="Garamond" w:eastAsia="Times New Roman" w:hAnsi="Garamond" w:cs="Times New Roman"/>
          <w:spacing w:val="2"/>
          <w:sz w:val="24"/>
          <w:szCs w:val="24"/>
          <w:lang w:eastAsia="pt-BR"/>
        </w:rPr>
        <w:t xml:space="preserve"> 1.636.124/AL, rel. Ministro HERMAN BENJAMIN, SEGUNDA TURMA, julgado em 6/12/2016, </w:t>
      </w:r>
      <w:proofErr w:type="spellStart"/>
      <w:r w:rsidRPr="00750002">
        <w:rPr>
          <w:rFonts w:ascii="Garamond" w:eastAsia="Times New Roman" w:hAnsi="Garamond" w:cs="Times New Roman"/>
          <w:spacing w:val="2"/>
          <w:sz w:val="24"/>
          <w:szCs w:val="24"/>
          <w:lang w:eastAsia="pt-BR"/>
        </w:rPr>
        <w:t>DJe</w:t>
      </w:r>
      <w:proofErr w:type="spellEnd"/>
      <w:r w:rsidRPr="00750002">
        <w:rPr>
          <w:rFonts w:ascii="Garamond" w:eastAsia="Times New Roman" w:hAnsi="Garamond" w:cs="Times New Roman"/>
          <w:spacing w:val="2"/>
          <w:sz w:val="24"/>
          <w:szCs w:val="24"/>
          <w:lang w:eastAsia="pt-BR"/>
        </w:rPr>
        <w:t xml:space="preserve"> 27/4/2017). 4. No caso em exame, não havendo condenação principal, a fixação dos honorários "dar-se-á sobre o valor atualizado da causa", nos termos do inciso </w:t>
      </w:r>
      <w:proofErr w:type="spellStart"/>
      <w:r w:rsidRPr="00750002">
        <w:rPr>
          <w:rFonts w:ascii="Garamond" w:eastAsia="Times New Roman" w:hAnsi="Garamond" w:cs="Times New Roman"/>
          <w:spacing w:val="2"/>
          <w:sz w:val="24"/>
          <w:szCs w:val="24"/>
          <w:lang w:eastAsia="pt-BR"/>
        </w:rPr>
        <w:t>IIIdo</w:t>
      </w:r>
      <w:proofErr w:type="spellEnd"/>
      <w:r w:rsidRPr="00750002">
        <w:rPr>
          <w:rFonts w:ascii="Garamond" w:eastAsia="Times New Roman" w:hAnsi="Garamond" w:cs="Times New Roman"/>
          <w:spacing w:val="2"/>
          <w:sz w:val="24"/>
          <w:szCs w:val="24"/>
          <w:lang w:eastAsia="pt-BR"/>
        </w:rPr>
        <w:t xml:space="preserve"> § 4º do art. 85 do CPC/2015. Em consequência, diante do montante consignado na petição inicial como valor da causa de R$ 500,00, a verba honorária deve ser fixada em 20% sobre o valor atualizado da causa (art. 85, § 2º, I, III e IV, e § 3º, I, do CPC/2015). 5. Embargos de declaração acolhidos.(STJ - </w:t>
      </w:r>
      <w:proofErr w:type="spellStart"/>
      <w:r w:rsidRPr="00750002">
        <w:rPr>
          <w:rFonts w:ascii="Garamond" w:eastAsia="Times New Roman" w:hAnsi="Garamond" w:cs="Times New Roman"/>
          <w:spacing w:val="2"/>
          <w:sz w:val="24"/>
          <w:szCs w:val="24"/>
          <w:lang w:eastAsia="pt-BR"/>
        </w:rPr>
        <w:t>EDcl</w:t>
      </w:r>
      <w:proofErr w:type="spellEnd"/>
      <w:r w:rsidRPr="00750002">
        <w:rPr>
          <w:rFonts w:ascii="Garamond" w:eastAsia="Times New Roman" w:hAnsi="Garamond" w:cs="Times New Roman"/>
          <w:spacing w:val="2"/>
          <w:sz w:val="24"/>
          <w:szCs w:val="24"/>
          <w:lang w:eastAsia="pt-BR"/>
        </w:rPr>
        <w:t xml:space="preserve"> na AR: 3983 GO 2008/0114504-0, Relator: Ministro RIBEIRO DANTAS, Data de Julgamento: 13/03/2019, S3 - TERCEIRA SEÇÃO, Data de Publicação: </w:t>
      </w:r>
      <w:proofErr w:type="spellStart"/>
      <w:r w:rsidRPr="00750002">
        <w:rPr>
          <w:rFonts w:ascii="Garamond" w:eastAsia="Times New Roman" w:hAnsi="Garamond" w:cs="Times New Roman"/>
          <w:spacing w:val="2"/>
          <w:sz w:val="24"/>
          <w:szCs w:val="24"/>
          <w:lang w:eastAsia="pt-BR"/>
        </w:rPr>
        <w:t>DJe</w:t>
      </w:r>
      <w:proofErr w:type="spellEnd"/>
      <w:r w:rsidRPr="00750002">
        <w:rPr>
          <w:rFonts w:ascii="Garamond" w:eastAsia="Times New Roman" w:hAnsi="Garamond" w:cs="Times New Roman"/>
          <w:spacing w:val="2"/>
          <w:sz w:val="24"/>
          <w:szCs w:val="24"/>
          <w:lang w:eastAsia="pt-BR"/>
        </w:rPr>
        <w:t xml:space="preserve"> 22/03/2019)</w:t>
      </w:r>
    </w:p>
    <w:p w:rsidR="00750002" w:rsidRPr="00750002" w:rsidRDefault="00750002" w:rsidP="00191CBC">
      <w:pPr>
        <w:spacing w:line="360" w:lineRule="auto"/>
        <w:jc w:val="both"/>
        <w:rPr>
          <w:rFonts w:ascii="Garamond" w:hAnsi="Garamond" w:cs="Tahoma"/>
          <w:sz w:val="24"/>
          <w:szCs w:val="24"/>
        </w:rPr>
      </w:pPr>
    </w:p>
    <w:p w:rsidR="00750002" w:rsidRPr="00750002" w:rsidRDefault="00750002" w:rsidP="00191CBC">
      <w:pPr>
        <w:spacing w:after="100" w:afterAutospacing="1" w:line="360" w:lineRule="auto"/>
        <w:ind w:left="1416"/>
        <w:jc w:val="both"/>
        <w:rPr>
          <w:rFonts w:ascii="Garamond" w:eastAsia="Times New Roman" w:hAnsi="Garamond" w:cs="Times New Roman"/>
          <w:spacing w:val="2"/>
          <w:sz w:val="24"/>
          <w:szCs w:val="24"/>
          <w:lang w:eastAsia="pt-BR"/>
        </w:rPr>
      </w:pPr>
      <w:r w:rsidRPr="00750002">
        <w:rPr>
          <w:rFonts w:ascii="Garamond" w:eastAsia="Times New Roman" w:hAnsi="Garamond" w:cs="Times New Roman"/>
          <w:spacing w:val="2"/>
          <w:sz w:val="24"/>
          <w:szCs w:val="24"/>
          <w:lang w:eastAsia="pt-BR"/>
        </w:rPr>
        <w:t xml:space="preserve">PROCESSUAL CIVIL. EMBARGOS DE DECLARAÇÃO. OMISSÃO. HONORÁRIOS SUCUMBENCIAIS RECURSAIS. APLICAÇÃO. 1. A embargante/recorrida alega, em síntese, que o decisum incorreu em omissão, pois "esse juízo deve prosseguir no julgamento do recurso, para, de forma expressa, condenar o embargado ao pagamento dos honorários de </w:t>
      </w:r>
      <w:r w:rsidRPr="00750002">
        <w:rPr>
          <w:rFonts w:ascii="Garamond" w:eastAsia="Times New Roman" w:hAnsi="Garamond" w:cs="Times New Roman"/>
          <w:spacing w:val="2"/>
          <w:sz w:val="24"/>
          <w:szCs w:val="24"/>
          <w:lang w:eastAsia="pt-BR"/>
        </w:rPr>
        <w:lastRenderedPageBreak/>
        <w:t xml:space="preserve">sucumbência recursal, ao modo do previsto no art. 85, § 11, do NCPC". 2. Os embargos merecem acolhimento. Com efeito, verificada a omissão acerca do tema ventilado (art. 85, § 11, do CPC/2015) e no Enunciado Administrativo 7/STJ, o pagamento de honorários advocatícios recursais deve ser arbitrado sobre a verba sucumbencial fixada na origem 3. Embargos de Declaração acolhidos para condenar a parte embargada/recorrente ao pagamento de honorários advocatícios correspondentes a 10% (dez por cento) sobre a verba sucumbencial fixada na origem.(STJ - </w:t>
      </w:r>
      <w:proofErr w:type="spellStart"/>
      <w:r w:rsidRPr="00750002">
        <w:rPr>
          <w:rFonts w:ascii="Garamond" w:eastAsia="Times New Roman" w:hAnsi="Garamond" w:cs="Times New Roman"/>
          <w:spacing w:val="2"/>
          <w:sz w:val="24"/>
          <w:szCs w:val="24"/>
          <w:lang w:eastAsia="pt-BR"/>
        </w:rPr>
        <w:t>EDcl</w:t>
      </w:r>
      <w:proofErr w:type="spellEnd"/>
      <w:r w:rsidRPr="00750002">
        <w:rPr>
          <w:rFonts w:ascii="Garamond" w:eastAsia="Times New Roman" w:hAnsi="Garamond" w:cs="Times New Roman"/>
          <w:spacing w:val="2"/>
          <w:sz w:val="24"/>
          <w:szCs w:val="24"/>
          <w:lang w:eastAsia="pt-BR"/>
        </w:rPr>
        <w:t xml:space="preserve"> no </w:t>
      </w:r>
      <w:proofErr w:type="spellStart"/>
      <w:r w:rsidRPr="00750002">
        <w:rPr>
          <w:rFonts w:ascii="Garamond" w:eastAsia="Times New Roman" w:hAnsi="Garamond" w:cs="Times New Roman"/>
          <w:spacing w:val="2"/>
          <w:sz w:val="24"/>
          <w:szCs w:val="24"/>
          <w:lang w:eastAsia="pt-BR"/>
        </w:rPr>
        <w:t>REsp</w:t>
      </w:r>
      <w:proofErr w:type="spellEnd"/>
      <w:r w:rsidRPr="00750002">
        <w:rPr>
          <w:rFonts w:ascii="Garamond" w:eastAsia="Times New Roman" w:hAnsi="Garamond" w:cs="Times New Roman"/>
          <w:spacing w:val="2"/>
          <w:sz w:val="24"/>
          <w:szCs w:val="24"/>
          <w:lang w:eastAsia="pt-BR"/>
        </w:rPr>
        <w:t xml:space="preserve">: 1749458 MT 2018/0143454-1, Relator: Ministro HERMAN BENJAMIN, Data de Julgamento: 26/03/2019, T2 - SEGUNDA TURMA, Data de Publicação: </w:t>
      </w:r>
      <w:proofErr w:type="spellStart"/>
      <w:r w:rsidRPr="00750002">
        <w:rPr>
          <w:rFonts w:ascii="Garamond" w:eastAsia="Times New Roman" w:hAnsi="Garamond" w:cs="Times New Roman"/>
          <w:spacing w:val="2"/>
          <w:sz w:val="24"/>
          <w:szCs w:val="24"/>
          <w:lang w:eastAsia="pt-BR"/>
        </w:rPr>
        <w:t>DJe</w:t>
      </w:r>
      <w:proofErr w:type="spellEnd"/>
      <w:r w:rsidRPr="00750002">
        <w:rPr>
          <w:rFonts w:ascii="Garamond" w:eastAsia="Times New Roman" w:hAnsi="Garamond" w:cs="Times New Roman"/>
          <w:spacing w:val="2"/>
          <w:sz w:val="24"/>
          <w:szCs w:val="24"/>
          <w:lang w:eastAsia="pt-BR"/>
        </w:rPr>
        <w:t xml:space="preserve"> 22/04/2019)</w:t>
      </w:r>
    </w:p>
    <w:p w:rsidR="00750002" w:rsidRPr="00750002" w:rsidRDefault="00750002" w:rsidP="00750002">
      <w:pPr>
        <w:spacing w:line="360" w:lineRule="auto"/>
        <w:jc w:val="both"/>
        <w:rPr>
          <w:rFonts w:ascii="Garamond" w:hAnsi="Garamond" w:cs="Tahoma"/>
          <w:sz w:val="24"/>
          <w:szCs w:val="24"/>
        </w:rPr>
      </w:pPr>
    </w:p>
    <w:p w:rsidR="00750002" w:rsidRPr="00750002" w:rsidRDefault="00750002" w:rsidP="00191CBC">
      <w:pPr>
        <w:pStyle w:val="NormalWeb"/>
        <w:spacing w:before="0" w:beforeAutospacing="0" w:line="360" w:lineRule="auto"/>
        <w:ind w:left="1416"/>
        <w:jc w:val="both"/>
        <w:rPr>
          <w:rFonts w:ascii="Garamond" w:hAnsi="Garamond"/>
          <w:spacing w:val="2"/>
        </w:rPr>
      </w:pPr>
      <w:r w:rsidRPr="00750002">
        <w:rPr>
          <w:rFonts w:ascii="Garamond" w:hAnsi="Garamond"/>
          <w:spacing w:val="2"/>
        </w:rPr>
        <w:t xml:space="preserve">EMBARGOS DE DECLARAÇÃO NO AGRAVO DE INSTRUMENTO NO RECURSO ESPECIAL. ADMINISTRATIVO. SERVIDOR PÚBLICO. QUINTOS. MEDIDA PROVISÓRIA N. 2.225-45/2001. DIREITO À INCORPORAÇÃO. IMPOSSIBILIDADE. PRONUNCIAMENTO DO SUPREMO TRIBUNAL FEDERAL EM SEDE DE REPERCUSSÃO GERAL. JUÍZO DE RETRATAÇÃO. RECONSIDERAÇÃO DO ACÓRDÃO PROFERIDO PELA SEXTA TURMA NO AGRAVO REGIMENTAL. ALEGAÇÃO DE OMISSÃO. EMBARGOS DE DECLARAÇÃO ACOLHIDOS. VERBA HONORÁRIA A SER CUSTEADA PELAS PARTES NA PROPORÇÃO DO RESPECTIVO DECAIMENTO. 1. O Supremo Tribunal Federal, nos autos do RE n. 638.115/CE, declarou a impossibilidade de incorporação de quintos decorrentes do exercício de funções comissionadas exercidas no período compreendido entre a edição da Lei n. 9.624/98 e da MP n. 2.225-45/2001. Reconsideração do acórdão anteriormente prolatado por este Superior Tribunal de Justiça. 2. Embargos de declaração acolhidos para determinar que os honorários advocatícios sejam custeados pelas partes na proporção do respectivo decaimento.(STJ - </w:t>
      </w:r>
      <w:proofErr w:type="spellStart"/>
      <w:r w:rsidRPr="00750002">
        <w:rPr>
          <w:rFonts w:ascii="Garamond" w:hAnsi="Garamond"/>
          <w:spacing w:val="2"/>
        </w:rPr>
        <w:t>EDcl</w:t>
      </w:r>
      <w:proofErr w:type="spellEnd"/>
      <w:r w:rsidRPr="00750002">
        <w:rPr>
          <w:rFonts w:ascii="Garamond" w:hAnsi="Garamond"/>
          <w:spacing w:val="2"/>
        </w:rPr>
        <w:t xml:space="preserve"> no Ag: 1254396 SC 2009/0227021-3, Relator: Ministro NEFI CORDEIRO, Data de Julgamento: 03/05/2018, T6 - SEXTA TURMA, Data de Publicação: </w:t>
      </w:r>
      <w:proofErr w:type="spellStart"/>
      <w:r w:rsidRPr="00750002">
        <w:rPr>
          <w:rFonts w:ascii="Garamond" w:hAnsi="Garamond"/>
          <w:spacing w:val="2"/>
        </w:rPr>
        <w:t>DJe</w:t>
      </w:r>
      <w:proofErr w:type="spellEnd"/>
      <w:r w:rsidRPr="00750002">
        <w:rPr>
          <w:rFonts w:ascii="Garamond" w:hAnsi="Garamond"/>
          <w:spacing w:val="2"/>
        </w:rPr>
        <w:t xml:space="preserve"> 15/05/2018)</w:t>
      </w:r>
    </w:p>
    <w:p w:rsidR="00750002" w:rsidRPr="00D05C43" w:rsidRDefault="00750002" w:rsidP="00D05C43">
      <w:pPr>
        <w:spacing w:line="360" w:lineRule="auto"/>
        <w:jc w:val="both"/>
        <w:rPr>
          <w:rFonts w:ascii="Garamond" w:hAnsi="Garamond" w:cs="Tahoma"/>
          <w:sz w:val="24"/>
          <w:szCs w:val="24"/>
        </w:rPr>
      </w:pPr>
    </w:p>
    <w:p w:rsidR="00C7254A" w:rsidRPr="00D05C43" w:rsidRDefault="00383155" w:rsidP="00D05C43">
      <w:pPr>
        <w:spacing w:line="360" w:lineRule="auto"/>
        <w:jc w:val="both"/>
        <w:rPr>
          <w:rFonts w:ascii="Garamond" w:hAnsi="Garamond" w:cs="Tahoma"/>
          <w:sz w:val="24"/>
          <w:szCs w:val="24"/>
        </w:rPr>
      </w:pPr>
      <w:r w:rsidRPr="00D05C43">
        <w:rPr>
          <w:rFonts w:ascii="Garamond" w:hAnsi="Garamond" w:cs="Tahoma"/>
          <w:sz w:val="24"/>
          <w:szCs w:val="24"/>
        </w:rPr>
        <w:tab/>
      </w:r>
      <w:r w:rsidR="00C7254A" w:rsidRPr="00D05C43">
        <w:rPr>
          <w:rFonts w:ascii="Garamond" w:hAnsi="Garamond" w:cs="Tahoma"/>
          <w:sz w:val="24"/>
          <w:szCs w:val="24"/>
        </w:rPr>
        <w:t xml:space="preserve">Assim, mister se faz sanar </w:t>
      </w:r>
      <w:r w:rsidR="00100B7B">
        <w:rPr>
          <w:rFonts w:ascii="Garamond" w:hAnsi="Garamond" w:cs="Tahoma"/>
          <w:sz w:val="24"/>
          <w:szCs w:val="24"/>
        </w:rPr>
        <w:t>a</w:t>
      </w:r>
      <w:r w:rsidR="00C7254A" w:rsidRPr="00D05C43">
        <w:rPr>
          <w:rFonts w:ascii="Garamond" w:hAnsi="Garamond" w:cs="Tahoma"/>
          <w:sz w:val="24"/>
          <w:szCs w:val="24"/>
        </w:rPr>
        <w:t xml:space="preserve"> </w:t>
      </w:r>
      <w:r w:rsidR="00100B7B">
        <w:rPr>
          <w:rFonts w:ascii="Garamond" w:hAnsi="Garamond" w:cs="Tahoma"/>
          <w:sz w:val="24"/>
          <w:szCs w:val="24"/>
        </w:rPr>
        <w:t>omissão apontada</w:t>
      </w:r>
      <w:r w:rsidR="00C7254A" w:rsidRPr="00D05C43">
        <w:rPr>
          <w:rFonts w:ascii="Garamond" w:hAnsi="Garamond" w:cs="Tahoma"/>
          <w:sz w:val="24"/>
          <w:szCs w:val="24"/>
        </w:rPr>
        <w:t>.</w:t>
      </w:r>
    </w:p>
    <w:p w:rsidR="00194A8D" w:rsidRPr="00D05C43" w:rsidRDefault="00194A8D" w:rsidP="00D05C43">
      <w:pPr>
        <w:spacing w:line="360" w:lineRule="auto"/>
        <w:jc w:val="both"/>
        <w:rPr>
          <w:rFonts w:ascii="Garamond" w:hAnsi="Garamond" w:cs="Tahoma"/>
          <w:sz w:val="24"/>
          <w:szCs w:val="24"/>
        </w:rPr>
      </w:pPr>
    </w:p>
    <w:p w:rsidR="00C7254A" w:rsidRPr="00D05C43" w:rsidRDefault="00194A8D" w:rsidP="00D05C43">
      <w:pPr>
        <w:spacing w:line="360" w:lineRule="auto"/>
        <w:jc w:val="both"/>
        <w:rPr>
          <w:rFonts w:ascii="Garamond" w:hAnsi="Garamond" w:cs="Tahoma"/>
          <w:b/>
          <w:sz w:val="24"/>
          <w:szCs w:val="24"/>
        </w:rPr>
      </w:pPr>
      <w:r w:rsidRPr="00D05C43">
        <w:rPr>
          <w:rFonts w:ascii="Garamond" w:hAnsi="Garamond" w:cs="Tahoma"/>
          <w:b/>
          <w:sz w:val="24"/>
          <w:szCs w:val="24"/>
        </w:rPr>
        <w:t>PEDIDO</w:t>
      </w:r>
    </w:p>
    <w:p w:rsidR="00194A8D" w:rsidRDefault="00383155" w:rsidP="00D05C43">
      <w:pPr>
        <w:spacing w:line="360" w:lineRule="auto"/>
        <w:jc w:val="both"/>
        <w:rPr>
          <w:rFonts w:ascii="Garamond" w:hAnsi="Garamond" w:cs="Tahoma"/>
          <w:sz w:val="24"/>
          <w:szCs w:val="24"/>
        </w:rPr>
      </w:pPr>
      <w:r w:rsidRPr="00D05C43">
        <w:rPr>
          <w:rFonts w:ascii="Garamond" w:hAnsi="Garamond" w:cs="Tahoma"/>
          <w:sz w:val="24"/>
          <w:szCs w:val="24"/>
        </w:rPr>
        <w:tab/>
      </w:r>
      <w:r w:rsidR="00C7254A" w:rsidRPr="00D05C43">
        <w:rPr>
          <w:rFonts w:ascii="Garamond" w:hAnsi="Garamond" w:cs="Tahoma"/>
          <w:sz w:val="24"/>
          <w:szCs w:val="24"/>
        </w:rPr>
        <w:t xml:space="preserve">Pelo exposto, </w:t>
      </w:r>
      <w:r w:rsidR="00EA41E0">
        <w:rPr>
          <w:rFonts w:ascii="Garamond" w:hAnsi="Garamond" w:cs="Tahoma"/>
          <w:sz w:val="24"/>
          <w:szCs w:val="24"/>
        </w:rPr>
        <w:t>pugna pelo acolhimento dos argumentos elencados pelo embargante.</w:t>
      </w:r>
    </w:p>
    <w:p w:rsidR="00EA41E0" w:rsidRPr="00D05C43" w:rsidRDefault="00EA41E0" w:rsidP="00D05C43">
      <w:pPr>
        <w:spacing w:line="360" w:lineRule="auto"/>
        <w:jc w:val="both"/>
        <w:rPr>
          <w:rFonts w:ascii="Garamond" w:hAnsi="Garamond" w:cs="Tahoma"/>
          <w:sz w:val="24"/>
          <w:szCs w:val="24"/>
        </w:rPr>
      </w:pPr>
    </w:p>
    <w:p w:rsidR="00C7254A" w:rsidRPr="00D05C43" w:rsidRDefault="00194A8D" w:rsidP="00D05C43">
      <w:pPr>
        <w:spacing w:line="360" w:lineRule="auto"/>
        <w:jc w:val="both"/>
        <w:rPr>
          <w:rFonts w:ascii="Garamond" w:hAnsi="Garamond" w:cs="Tahoma"/>
          <w:b/>
          <w:sz w:val="24"/>
          <w:szCs w:val="24"/>
        </w:rPr>
      </w:pPr>
      <w:r w:rsidRPr="00D05C43">
        <w:rPr>
          <w:rFonts w:ascii="Garamond" w:hAnsi="Garamond" w:cs="Tahoma"/>
          <w:b/>
          <w:sz w:val="24"/>
          <w:szCs w:val="24"/>
        </w:rPr>
        <w:t>REQUERIMENTO</w:t>
      </w:r>
    </w:p>
    <w:p w:rsidR="00C7254A" w:rsidRPr="00D05C43" w:rsidRDefault="00194A8D" w:rsidP="00D05C43">
      <w:pPr>
        <w:spacing w:line="360" w:lineRule="auto"/>
        <w:jc w:val="both"/>
        <w:rPr>
          <w:rFonts w:ascii="Garamond" w:hAnsi="Garamond" w:cs="Tahoma"/>
          <w:sz w:val="24"/>
          <w:szCs w:val="24"/>
        </w:rPr>
      </w:pPr>
      <w:r w:rsidRPr="00D05C43">
        <w:rPr>
          <w:rFonts w:ascii="Garamond" w:hAnsi="Garamond" w:cs="Tahoma"/>
          <w:sz w:val="24"/>
          <w:szCs w:val="24"/>
        </w:rPr>
        <w:tab/>
      </w:r>
      <w:r w:rsidRPr="00D05C43">
        <w:rPr>
          <w:rFonts w:ascii="Garamond" w:hAnsi="Garamond" w:cs="Tahoma"/>
          <w:sz w:val="24"/>
          <w:szCs w:val="24"/>
        </w:rPr>
        <w:tab/>
      </w:r>
      <w:r w:rsidRPr="00D05C43">
        <w:rPr>
          <w:rFonts w:ascii="Garamond" w:hAnsi="Garamond" w:cs="Tahoma"/>
          <w:sz w:val="24"/>
          <w:szCs w:val="24"/>
        </w:rPr>
        <w:tab/>
      </w:r>
      <w:r w:rsidR="00C7254A" w:rsidRPr="00D05C43">
        <w:rPr>
          <w:rFonts w:ascii="Garamond" w:hAnsi="Garamond" w:cs="Tahoma"/>
          <w:sz w:val="24"/>
          <w:szCs w:val="24"/>
        </w:rPr>
        <w:t>Isto posto, requer o embargante:</w:t>
      </w:r>
    </w:p>
    <w:p w:rsidR="00C7254A" w:rsidRPr="00750002" w:rsidRDefault="00C7254A" w:rsidP="00D05C43">
      <w:pPr>
        <w:pStyle w:val="PargrafodaLista"/>
        <w:numPr>
          <w:ilvl w:val="0"/>
          <w:numId w:val="3"/>
        </w:numPr>
        <w:spacing w:line="360" w:lineRule="auto"/>
        <w:jc w:val="both"/>
        <w:rPr>
          <w:rFonts w:ascii="Garamond" w:hAnsi="Garamond" w:cs="Tahoma"/>
          <w:sz w:val="24"/>
          <w:szCs w:val="24"/>
          <w:lang w:val="pt-BR"/>
        </w:rPr>
      </w:pPr>
      <w:r w:rsidRPr="00750002">
        <w:rPr>
          <w:rFonts w:ascii="Garamond" w:hAnsi="Garamond" w:cs="Tahoma"/>
          <w:sz w:val="24"/>
          <w:szCs w:val="24"/>
          <w:lang w:val="pt-BR"/>
        </w:rPr>
        <w:t>nos termos do art. 1.023, § 2º, do Código de Processo Civil, a intimação do embargado, na pessoa do seu advogado, para  responder no prazo legal de 5 (cinco) dias tendo em vista que o eventual</w:t>
      </w:r>
      <w:r w:rsidR="00194A8D" w:rsidRPr="00750002">
        <w:rPr>
          <w:rFonts w:ascii="Garamond" w:hAnsi="Garamond" w:cs="Tahoma"/>
          <w:sz w:val="24"/>
          <w:szCs w:val="24"/>
          <w:lang w:val="pt-BR"/>
        </w:rPr>
        <w:t xml:space="preserve"> </w:t>
      </w:r>
      <w:r w:rsidRPr="00750002">
        <w:rPr>
          <w:rFonts w:ascii="Garamond" w:hAnsi="Garamond" w:cs="Tahoma"/>
          <w:sz w:val="24"/>
          <w:szCs w:val="24"/>
          <w:lang w:val="pt-BR"/>
        </w:rPr>
        <w:t>acolhimento</w:t>
      </w:r>
      <w:r w:rsidR="00194A8D" w:rsidRPr="00750002">
        <w:rPr>
          <w:rFonts w:ascii="Garamond" w:hAnsi="Garamond" w:cs="Tahoma"/>
          <w:sz w:val="24"/>
          <w:szCs w:val="24"/>
          <w:lang w:val="pt-BR"/>
        </w:rPr>
        <w:t xml:space="preserve"> </w:t>
      </w:r>
      <w:r w:rsidRPr="00750002">
        <w:rPr>
          <w:rFonts w:ascii="Garamond" w:hAnsi="Garamond" w:cs="Tahoma"/>
          <w:sz w:val="24"/>
          <w:szCs w:val="24"/>
          <w:lang w:val="pt-BR"/>
        </w:rPr>
        <w:t>implicará</w:t>
      </w:r>
      <w:r w:rsidR="00194A8D" w:rsidRPr="00750002">
        <w:rPr>
          <w:rFonts w:ascii="Garamond" w:hAnsi="Garamond" w:cs="Tahoma"/>
          <w:sz w:val="24"/>
          <w:szCs w:val="24"/>
          <w:lang w:val="pt-BR"/>
        </w:rPr>
        <w:t xml:space="preserve"> </w:t>
      </w:r>
      <w:r w:rsidRPr="00750002">
        <w:rPr>
          <w:rFonts w:ascii="Garamond" w:hAnsi="Garamond" w:cs="Tahoma"/>
          <w:sz w:val="24"/>
          <w:szCs w:val="24"/>
          <w:lang w:val="pt-BR"/>
        </w:rPr>
        <w:t>na</w:t>
      </w:r>
      <w:r w:rsidR="00194A8D" w:rsidRPr="00750002">
        <w:rPr>
          <w:rFonts w:ascii="Garamond" w:hAnsi="Garamond" w:cs="Tahoma"/>
          <w:sz w:val="24"/>
          <w:szCs w:val="24"/>
          <w:lang w:val="pt-BR"/>
        </w:rPr>
        <w:t xml:space="preserve"> </w:t>
      </w:r>
      <w:r w:rsidRPr="00750002">
        <w:rPr>
          <w:rFonts w:ascii="Garamond" w:hAnsi="Garamond" w:cs="Tahoma"/>
          <w:sz w:val="24"/>
          <w:szCs w:val="24"/>
          <w:lang w:val="pt-BR"/>
        </w:rPr>
        <w:t>alteração</w:t>
      </w:r>
      <w:r w:rsidR="00194A8D" w:rsidRPr="00750002">
        <w:rPr>
          <w:rFonts w:ascii="Garamond" w:hAnsi="Garamond" w:cs="Tahoma"/>
          <w:sz w:val="24"/>
          <w:szCs w:val="24"/>
          <w:lang w:val="pt-BR"/>
        </w:rPr>
        <w:t xml:space="preserve"> </w:t>
      </w:r>
      <w:r w:rsidRPr="00750002">
        <w:rPr>
          <w:rFonts w:ascii="Garamond" w:hAnsi="Garamond" w:cs="Tahoma"/>
          <w:sz w:val="24"/>
          <w:szCs w:val="24"/>
          <w:lang w:val="pt-BR"/>
        </w:rPr>
        <w:t>do</w:t>
      </w:r>
      <w:r w:rsidR="00194A8D" w:rsidRPr="00750002">
        <w:rPr>
          <w:rFonts w:ascii="Garamond" w:hAnsi="Garamond" w:cs="Tahoma"/>
          <w:sz w:val="24"/>
          <w:szCs w:val="24"/>
          <w:lang w:val="pt-BR"/>
        </w:rPr>
        <w:t xml:space="preserve"> </w:t>
      </w:r>
      <w:r w:rsidRPr="00750002">
        <w:rPr>
          <w:rFonts w:ascii="Garamond" w:hAnsi="Garamond" w:cs="Tahoma"/>
          <w:sz w:val="24"/>
          <w:szCs w:val="24"/>
          <w:lang w:val="pt-BR"/>
        </w:rPr>
        <w:t>dispositivo;</w:t>
      </w:r>
    </w:p>
    <w:p w:rsidR="00C7254A" w:rsidRPr="00750002" w:rsidRDefault="00C7254A" w:rsidP="00D05C43">
      <w:pPr>
        <w:pStyle w:val="PargrafodaLista"/>
        <w:numPr>
          <w:ilvl w:val="0"/>
          <w:numId w:val="3"/>
        </w:numPr>
        <w:spacing w:line="360" w:lineRule="auto"/>
        <w:jc w:val="both"/>
        <w:rPr>
          <w:rFonts w:ascii="Garamond" w:hAnsi="Garamond" w:cs="Tahoma"/>
          <w:sz w:val="24"/>
          <w:szCs w:val="24"/>
          <w:lang w:val="pt-BR"/>
        </w:rPr>
      </w:pPr>
      <w:r w:rsidRPr="00750002">
        <w:rPr>
          <w:rFonts w:ascii="Garamond" w:hAnsi="Garamond" w:cs="Tahoma"/>
          <w:sz w:val="24"/>
          <w:szCs w:val="24"/>
          <w:lang w:val="pt-BR"/>
        </w:rPr>
        <w:t>ao final, que Vossa Excelência se digne em acolher os embargos dando-lhes provimento para</w:t>
      </w:r>
      <w:r w:rsidR="00C10378">
        <w:rPr>
          <w:rFonts w:ascii="Garamond" w:hAnsi="Garamond" w:cs="Tahoma"/>
          <w:sz w:val="24"/>
          <w:szCs w:val="24"/>
          <w:lang w:val="pt-BR"/>
        </w:rPr>
        <w:t xml:space="preserve"> fixar honorários advocatícios sucumbenciais.</w:t>
      </w:r>
      <w:bookmarkStart w:id="1" w:name="_GoBack"/>
      <w:bookmarkEnd w:id="1"/>
    </w:p>
    <w:p w:rsidR="00C7254A" w:rsidRPr="00D05C43" w:rsidRDefault="00C7254A" w:rsidP="00D05C43">
      <w:pPr>
        <w:spacing w:line="360" w:lineRule="auto"/>
        <w:jc w:val="both"/>
        <w:rPr>
          <w:rFonts w:ascii="Garamond" w:hAnsi="Garamond" w:cs="Tahoma"/>
          <w:sz w:val="24"/>
          <w:szCs w:val="24"/>
        </w:rPr>
      </w:pPr>
    </w:p>
    <w:p w:rsidR="00383155" w:rsidRPr="00D05C43" w:rsidRDefault="00383155" w:rsidP="00D05C43">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2" w:name="_Hlk482881190"/>
      <w:bookmarkStart w:id="3" w:name="_Hlk482880653"/>
      <w:r w:rsidRPr="00D05C43">
        <w:rPr>
          <w:rFonts w:ascii="Garamond" w:hAnsi="Garamond" w:cs="Tahoma"/>
          <w:spacing w:val="2"/>
        </w:rPr>
        <w:t xml:space="preserve">Nestes termos, </w:t>
      </w:r>
    </w:p>
    <w:p w:rsidR="00383155" w:rsidRPr="00D05C43" w:rsidRDefault="00383155" w:rsidP="00D05C43">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D05C43">
        <w:rPr>
          <w:rFonts w:ascii="Garamond" w:hAnsi="Garamond" w:cs="Tahoma"/>
          <w:spacing w:val="2"/>
        </w:rPr>
        <w:t>pede e espera deferimento.</w:t>
      </w:r>
    </w:p>
    <w:p w:rsidR="00383155" w:rsidRPr="00D05C43" w:rsidRDefault="00383155" w:rsidP="00D05C43">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D05C43">
        <w:rPr>
          <w:rFonts w:ascii="Garamond" w:hAnsi="Garamond" w:cs="Tahoma"/>
          <w:spacing w:val="2"/>
        </w:rPr>
        <w:t>... (Município – UF), ... (dia) de ... (mês) de ... (ano).</w:t>
      </w:r>
    </w:p>
    <w:p w:rsidR="00383155" w:rsidRPr="00D05C43" w:rsidRDefault="00383155" w:rsidP="00D05C43">
      <w:pPr>
        <w:shd w:val="clear" w:color="auto" w:fill="FFFFFF"/>
        <w:spacing w:line="360" w:lineRule="auto"/>
        <w:jc w:val="both"/>
        <w:rPr>
          <w:rFonts w:ascii="Garamond" w:hAnsi="Garamond" w:cs="Arial"/>
          <w:sz w:val="20"/>
          <w:szCs w:val="20"/>
          <w:lang w:eastAsia="pt-BR"/>
        </w:rPr>
      </w:pPr>
    </w:p>
    <w:p w:rsidR="00383155" w:rsidRPr="00D05C43" w:rsidRDefault="00383155" w:rsidP="00D05C43">
      <w:pPr>
        <w:spacing w:after="0" w:line="360" w:lineRule="auto"/>
        <w:ind w:left="1321" w:right="1281" w:hanging="10"/>
        <w:jc w:val="center"/>
        <w:rPr>
          <w:rFonts w:ascii="Garamond" w:hAnsi="Garamond" w:cs="Tahoma"/>
          <w:sz w:val="24"/>
          <w:szCs w:val="24"/>
        </w:rPr>
      </w:pPr>
      <w:r w:rsidRPr="00D05C43">
        <w:rPr>
          <w:rFonts w:ascii="Garamond" w:hAnsi="Garamond" w:cs="Tahoma"/>
          <w:b/>
          <w:sz w:val="24"/>
          <w:szCs w:val="24"/>
        </w:rPr>
        <w:t>ADVOGADO</w:t>
      </w:r>
    </w:p>
    <w:p w:rsidR="00383155" w:rsidRPr="00D05C43" w:rsidRDefault="00383155" w:rsidP="00D05C43">
      <w:pPr>
        <w:spacing w:after="0" w:line="360" w:lineRule="auto"/>
        <w:ind w:left="1321" w:right="1281" w:hanging="10"/>
        <w:jc w:val="center"/>
        <w:rPr>
          <w:rFonts w:ascii="Garamond" w:hAnsi="Garamond" w:cs="Tahoma"/>
          <w:sz w:val="24"/>
          <w:szCs w:val="24"/>
        </w:rPr>
      </w:pPr>
      <w:r w:rsidRPr="00D05C43">
        <w:rPr>
          <w:rFonts w:ascii="Garamond" w:hAnsi="Garamond" w:cs="Tahoma"/>
          <w:sz w:val="24"/>
          <w:szCs w:val="24"/>
        </w:rPr>
        <w:t>OAB n° .... - UF</w:t>
      </w:r>
    </w:p>
    <w:bookmarkEnd w:id="2"/>
    <w:p w:rsidR="00383155" w:rsidRPr="00D05C43" w:rsidRDefault="00383155" w:rsidP="00D05C43">
      <w:pPr>
        <w:spacing w:after="0" w:line="360" w:lineRule="auto"/>
        <w:ind w:left="30"/>
        <w:jc w:val="center"/>
        <w:rPr>
          <w:rFonts w:ascii="Garamond" w:hAnsi="Garamond" w:cs="Tahoma"/>
          <w:sz w:val="24"/>
          <w:szCs w:val="24"/>
        </w:rPr>
      </w:pPr>
    </w:p>
    <w:bookmarkEnd w:id="3"/>
    <w:p w:rsidR="00194A8D" w:rsidRPr="00D05C43" w:rsidRDefault="00194A8D" w:rsidP="00D05C43">
      <w:pPr>
        <w:spacing w:line="360" w:lineRule="auto"/>
        <w:jc w:val="both"/>
        <w:rPr>
          <w:rFonts w:ascii="Garamond" w:hAnsi="Garamond" w:cs="Tahoma"/>
          <w:sz w:val="24"/>
          <w:szCs w:val="24"/>
        </w:rPr>
      </w:pPr>
    </w:p>
    <w:sectPr w:rsidR="00194A8D" w:rsidRPr="00D05C43" w:rsidSect="007A5AD2">
      <w:pgSz w:w="11906" w:h="16838"/>
      <w:pgMar w:top="1417" w:right="1418" w:bottom="1417"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ED3" w:rsidRDefault="00185ED3" w:rsidP="00286FD3">
      <w:pPr>
        <w:spacing w:after="0" w:line="240" w:lineRule="auto"/>
      </w:pPr>
      <w:r>
        <w:separator/>
      </w:r>
    </w:p>
  </w:endnote>
  <w:endnote w:type="continuationSeparator" w:id="0">
    <w:p w:rsidR="00185ED3" w:rsidRDefault="00185ED3" w:rsidP="00286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ED3" w:rsidRDefault="00185ED3" w:rsidP="00286FD3">
      <w:pPr>
        <w:spacing w:after="0" w:line="240" w:lineRule="auto"/>
      </w:pPr>
      <w:r>
        <w:separator/>
      </w:r>
    </w:p>
  </w:footnote>
  <w:footnote w:type="continuationSeparator" w:id="0">
    <w:p w:rsidR="00185ED3" w:rsidRDefault="00185ED3" w:rsidP="00286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D33ED"/>
    <w:multiLevelType w:val="hybridMultilevel"/>
    <w:tmpl w:val="E402D8E8"/>
    <w:lvl w:ilvl="0" w:tplc="CDE20DF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30952D0"/>
    <w:multiLevelType w:val="hybridMultilevel"/>
    <w:tmpl w:val="84260408"/>
    <w:lvl w:ilvl="0" w:tplc="22A0C0AC">
      <w:start w:val="1"/>
      <w:numFmt w:val="upperRoman"/>
      <w:lvlText w:val="%1"/>
      <w:lvlJc w:val="left"/>
      <w:pPr>
        <w:ind w:left="528" w:hanging="151"/>
      </w:pPr>
      <w:rPr>
        <w:rFonts w:ascii="Arial" w:eastAsia="Arial" w:hAnsi="Arial" w:cs="Arial" w:hint="default"/>
        <w:b/>
        <w:bCs/>
        <w:w w:val="100"/>
        <w:sz w:val="27"/>
        <w:szCs w:val="27"/>
      </w:rPr>
    </w:lvl>
    <w:lvl w:ilvl="1" w:tplc="33048C6C">
      <w:start w:val="1"/>
      <w:numFmt w:val="bullet"/>
      <w:lvlText w:val="•"/>
      <w:lvlJc w:val="left"/>
      <w:pPr>
        <w:ind w:left="1338" w:hanging="151"/>
      </w:pPr>
      <w:rPr>
        <w:rFonts w:hint="default"/>
      </w:rPr>
    </w:lvl>
    <w:lvl w:ilvl="2" w:tplc="876007AC">
      <w:start w:val="1"/>
      <w:numFmt w:val="bullet"/>
      <w:lvlText w:val="•"/>
      <w:lvlJc w:val="left"/>
      <w:pPr>
        <w:ind w:left="2157" w:hanging="151"/>
      </w:pPr>
      <w:rPr>
        <w:rFonts w:hint="default"/>
      </w:rPr>
    </w:lvl>
    <w:lvl w:ilvl="3" w:tplc="A9E2D294">
      <w:start w:val="1"/>
      <w:numFmt w:val="bullet"/>
      <w:lvlText w:val="•"/>
      <w:lvlJc w:val="left"/>
      <w:pPr>
        <w:ind w:left="2975" w:hanging="151"/>
      </w:pPr>
      <w:rPr>
        <w:rFonts w:hint="default"/>
      </w:rPr>
    </w:lvl>
    <w:lvl w:ilvl="4" w:tplc="EFAC2F2E">
      <w:start w:val="1"/>
      <w:numFmt w:val="bullet"/>
      <w:lvlText w:val="•"/>
      <w:lvlJc w:val="left"/>
      <w:pPr>
        <w:ind w:left="3794" w:hanging="151"/>
      </w:pPr>
      <w:rPr>
        <w:rFonts w:hint="default"/>
      </w:rPr>
    </w:lvl>
    <w:lvl w:ilvl="5" w:tplc="5662573C">
      <w:start w:val="1"/>
      <w:numFmt w:val="bullet"/>
      <w:lvlText w:val="•"/>
      <w:lvlJc w:val="left"/>
      <w:pPr>
        <w:ind w:left="4612" w:hanging="151"/>
      </w:pPr>
      <w:rPr>
        <w:rFonts w:hint="default"/>
      </w:rPr>
    </w:lvl>
    <w:lvl w:ilvl="6" w:tplc="240C35B4">
      <w:start w:val="1"/>
      <w:numFmt w:val="bullet"/>
      <w:lvlText w:val="•"/>
      <w:lvlJc w:val="left"/>
      <w:pPr>
        <w:ind w:left="5431" w:hanging="151"/>
      </w:pPr>
      <w:rPr>
        <w:rFonts w:hint="default"/>
      </w:rPr>
    </w:lvl>
    <w:lvl w:ilvl="7" w:tplc="ACDE4D02">
      <w:start w:val="1"/>
      <w:numFmt w:val="bullet"/>
      <w:lvlText w:val="•"/>
      <w:lvlJc w:val="left"/>
      <w:pPr>
        <w:ind w:left="6249" w:hanging="151"/>
      </w:pPr>
      <w:rPr>
        <w:rFonts w:hint="default"/>
      </w:rPr>
    </w:lvl>
    <w:lvl w:ilvl="8" w:tplc="9CDC2914">
      <w:start w:val="1"/>
      <w:numFmt w:val="bullet"/>
      <w:lvlText w:val="•"/>
      <w:lvlJc w:val="left"/>
      <w:pPr>
        <w:ind w:left="7068" w:hanging="151"/>
      </w:pPr>
      <w:rPr>
        <w:rFonts w:hint="default"/>
      </w:rPr>
    </w:lvl>
  </w:abstractNum>
  <w:abstractNum w:abstractNumId="2" w15:restartNumberingAfterBreak="0">
    <w:nsid w:val="6D180725"/>
    <w:multiLevelType w:val="hybridMultilevel"/>
    <w:tmpl w:val="7DA82194"/>
    <w:lvl w:ilvl="0" w:tplc="922AF824">
      <w:start w:val="1"/>
      <w:numFmt w:val="lowerLetter"/>
      <w:lvlText w:val="%1)"/>
      <w:lvlJc w:val="left"/>
      <w:pPr>
        <w:ind w:left="108" w:hanging="352"/>
      </w:pPr>
      <w:rPr>
        <w:rFonts w:ascii="Arial" w:eastAsia="Arial" w:hAnsi="Arial" w:cs="Arial" w:hint="default"/>
        <w:spacing w:val="-1"/>
        <w:w w:val="100"/>
        <w:sz w:val="27"/>
        <w:szCs w:val="27"/>
      </w:rPr>
    </w:lvl>
    <w:lvl w:ilvl="1" w:tplc="1D743B34">
      <w:start w:val="1"/>
      <w:numFmt w:val="bullet"/>
      <w:lvlText w:val="•"/>
      <w:lvlJc w:val="left"/>
      <w:pPr>
        <w:ind w:left="960" w:hanging="352"/>
      </w:pPr>
      <w:rPr>
        <w:rFonts w:hint="default"/>
      </w:rPr>
    </w:lvl>
    <w:lvl w:ilvl="2" w:tplc="88245694">
      <w:start w:val="1"/>
      <w:numFmt w:val="bullet"/>
      <w:lvlText w:val="•"/>
      <w:lvlJc w:val="left"/>
      <w:pPr>
        <w:ind w:left="1821" w:hanging="352"/>
      </w:pPr>
      <w:rPr>
        <w:rFonts w:hint="default"/>
      </w:rPr>
    </w:lvl>
    <w:lvl w:ilvl="3" w:tplc="E0049FEC">
      <w:start w:val="1"/>
      <w:numFmt w:val="bullet"/>
      <w:lvlText w:val="•"/>
      <w:lvlJc w:val="left"/>
      <w:pPr>
        <w:ind w:left="2681" w:hanging="352"/>
      </w:pPr>
      <w:rPr>
        <w:rFonts w:hint="default"/>
      </w:rPr>
    </w:lvl>
    <w:lvl w:ilvl="4" w:tplc="8A06AF20">
      <w:start w:val="1"/>
      <w:numFmt w:val="bullet"/>
      <w:lvlText w:val="•"/>
      <w:lvlJc w:val="left"/>
      <w:pPr>
        <w:ind w:left="3542" w:hanging="352"/>
      </w:pPr>
      <w:rPr>
        <w:rFonts w:hint="default"/>
      </w:rPr>
    </w:lvl>
    <w:lvl w:ilvl="5" w:tplc="D62A8B42">
      <w:start w:val="1"/>
      <w:numFmt w:val="bullet"/>
      <w:lvlText w:val="•"/>
      <w:lvlJc w:val="left"/>
      <w:pPr>
        <w:ind w:left="4402" w:hanging="352"/>
      </w:pPr>
      <w:rPr>
        <w:rFonts w:hint="default"/>
      </w:rPr>
    </w:lvl>
    <w:lvl w:ilvl="6" w:tplc="F6908F3C">
      <w:start w:val="1"/>
      <w:numFmt w:val="bullet"/>
      <w:lvlText w:val="•"/>
      <w:lvlJc w:val="left"/>
      <w:pPr>
        <w:ind w:left="5263" w:hanging="352"/>
      </w:pPr>
      <w:rPr>
        <w:rFonts w:hint="default"/>
      </w:rPr>
    </w:lvl>
    <w:lvl w:ilvl="7" w:tplc="76AC0A1C">
      <w:start w:val="1"/>
      <w:numFmt w:val="bullet"/>
      <w:lvlText w:val="•"/>
      <w:lvlJc w:val="left"/>
      <w:pPr>
        <w:ind w:left="6123" w:hanging="352"/>
      </w:pPr>
      <w:rPr>
        <w:rFonts w:hint="default"/>
      </w:rPr>
    </w:lvl>
    <w:lvl w:ilvl="8" w:tplc="4FBEAAAA">
      <w:start w:val="1"/>
      <w:numFmt w:val="bullet"/>
      <w:lvlText w:val="•"/>
      <w:lvlJc w:val="left"/>
      <w:pPr>
        <w:ind w:left="6984" w:hanging="352"/>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4A"/>
    <w:rsid w:val="00100B7B"/>
    <w:rsid w:val="00134AC6"/>
    <w:rsid w:val="00185ED3"/>
    <w:rsid w:val="00191CBC"/>
    <w:rsid w:val="00194A8D"/>
    <w:rsid w:val="00200F8F"/>
    <w:rsid w:val="00286FD3"/>
    <w:rsid w:val="00383155"/>
    <w:rsid w:val="003E5118"/>
    <w:rsid w:val="00750002"/>
    <w:rsid w:val="00750A63"/>
    <w:rsid w:val="00772FE2"/>
    <w:rsid w:val="007A5AD2"/>
    <w:rsid w:val="0085146A"/>
    <w:rsid w:val="009674C7"/>
    <w:rsid w:val="009732A2"/>
    <w:rsid w:val="009F15B1"/>
    <w:rsid w:val="00A20D77"/>
    <w:rsid w:val="00AD1060"/>
    <w:rsid w:val="00C10378"/>
    <w:rsid w:val="00C36A23"/>
    <w:rsid w:val="00C7254A"/>
    <w:rsid w:val="00D05C43"/>
    <w:rsid w:val="00DF29FF"/>
    <w:rsid w:val="00E4795B"/>
    <w:rsid w:val="00EA41E0"/>
    <w:rsid w:val="00EA5583"/>
    <w:rsid w:val="00ED7EA6"/>
    <w:rsid w:val="00F04A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E9DE0"/>
  <w15:docId w15:val="{0419D4BB-7BF7-474C-97DA-37C8CB6C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46A"/>
  </w:style>
  <w:style w:type="paragraph" w:styleId="Ttulo2">
    <w:name w:val="heading 2"/>
    <w:basedOn w:val="Normal"/>
    <w:link w:val="Ttulo2Char"/>
    <w:uiPriority w:val="1"/>
    <w:qFormat/>
    <w:rsid w:val="00C7254A"/>
    <w:pPr>
      <w:widowControl w:val="0"/>
      <w:spacing w:before="136" w:after="0" w:line="240" w:lineRule="auto"/>
      <w:ind w:left="378"/>
      <w:outlineLvl w:val="1"/>
    </w:pPr>
    <w:rPr>
      <w:rFonts w:ascii="Arial" w:eastAsia="Arial" w:hAnsi="Arial" w:cs="Arial"/>
      <w:b/>
      <w:bCs/>
      <w:sz w:val="27"/>
      <w:szCs w:val="27"/>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1"/>
    <w:rsid w:val="00C7254A"/>
    <w:rPr>
      <w:rFonts w:ascii="Arial" w:eastAsia="Arial" w:hAnsi="Arial" w:cs="Arial"/>
      <w:b/>
      <w:bCs/>
      <w:sz w:val="27"/>
      <w:szCs w:val="27"/>
      <w:lang w:val="en-US"/>
    </w:rPr>
  </w:style>
  <w:style w:type="paragraph" w:styleId="Corpodetexto">
    <w:name w:val="Body Text"/>
    <w:basedOn w:val="Normal"/>
    <w:link w:val="CorpodetextoChar"/>
    <w:uiPriority w:val="1"/>
    <w:qFormat/>
    <w:rsid w:val="00C7254A"/>
    <w:pPr>
      <w:widowControl w:val="0"/>
      <w:spacing w:before="76" w:after="0" w:line="240" w:lineRule="auto"/>
      <w:ind w:left="108"/>
    </w:pPr>
    <w:rPr>
      <w:rFonts w:ascii="Arial" w:eastAsia="Arial" w:hAnsi="Arial" w:cs="Arial"/>
      <w:sz w:val="27"/>
      <w:szCs w:val="27"/>
      <w:lang w:val="en-US"/>
    </w:rPr>
  </w:style>
  <w:style w:type="character" w:customStyle="1" w:styleId="CorpodetextoChar">
    <w:name w:val="Corpo de texto Char"/>
    <w:basedOn w:val="Fontepargpadro"/>
    <w:link w:val="Corpodetexto"/>
    <w:uiPriority w:val="1"/>
    <w:rsid w:val="00C7254A"/>
    <w:rPr>
      <w:rFonts w:ascii="Arial" w:eastAsia="Arial" w:hAnsi="Arial" w:cs="Arial"/>
      <w:sz w:val="27"/>
      <w:szCs w:val="27"/>
      <w:lang w:val="en-US"/>
    </w:rPr>
  </w:style>
  <w:style w:type="paragraph" w:styleId="PargrafodaLista">
    <w:name w:val="List Paragraph"/>
    <w:basedOn w:val="Normal"/>
    <w:uiPriority w:val="1"/>
    <w:qFormat/>
    <w:rsid w:val="00C7254A"/>
    <w:pPr>
      <w:widowControl w:val="0"/>
      <w:spacing w:before="136" w:after="0" w:line="240" w:lineRule="auto"/>
      <w:ind w:left="108" w:firstLine="270"/>
    </w:pPr>
    <w:rPr>
      <w:rFonts w:ascii="Arial" w:eastAsia="Arial" w:hAnsi="Arial" w:cs="Arial"/>
      <w:lang w:val="en-US"/>
    </w:rPr>
  </w:style>
  <w:style w:type="paragraph" w:styleId="Cabealho">
    <w:name w:val="header"/>
    <w:basedOn w:val="Normal"/>
    <w:link w:val="CabealhoChar"/>
    <w:uiPriority w:val="99"/>
    <w:semiHidden/>
    <w:unhideWhenUsed/>
    <w:rsid w:val="00EA5583"/>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EA5583"/>
  </w:style>
  <w:style w:type="paragraph" w:styleId="Rodap">
    <w:name w:val="footer"/>
    <w:basedOn w:val="Normal"/>
    <w:link w:val="RodapChar"/>
    <w:uiPriority w:val="99"/>
    <w:semiHidden/>
    <w:unhideWhenUsed/>
    <w:rsid w:val="00EA5583"/>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EA5583"/>
  </w:style>
  <w:style w:type="paragraph" w:customStyle="1" w:styleId="Corpodotexto">
    <w:name w:val="Corpo do texto"/>
    <w:basedOn w:val="Normal"/>
    <w:uiPriority w:val="1"/>
    <w:qFormat/>
    <w:rsid w:val="00194A8D"/>
    <w:pPr>
      <w:widowControl w:val="0"/>
      <w:suppressAutoHyphens/>
      <w:spacing w:before="76" w:after="0" w:line="288" w:lineRule="auto"/>
      <w:ind w:left="108"/>
    </w:pPr>
    <w:rPr>
      <w:rFonts w:ascii="Arial" w:eastAsia="Arial" w:hAnsi="Arial" w:cs="Arial"/>
      <w:color w:val="00000A"/>
      <w:sz w:val="27"/>
      <w:szCs w:val="27"/>
      <w:lang w:val="en-US"/>
    </w:rPr>
  </w:style>
  <w:style w:type="paragraph" w:styleId="NormalWeb">
    <w:name w:val="Normal (Web)"/>
    <w:basedOn w:val="Normal"/>
    <w:uiPriority w:val="99"/>
    <w:unhideWhenUsed/>
    <w:rsid w:val="00383155"/>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985457">
      <w:bodyDiv w:val="1"/>
      <w:marLeft w:val="0"/>
      <w:marRight w:val="0"/>
      <w:marTop w:val="0"/>
      <w:marBottom w:val="0"/>
      <w:divBdr>
        <w:top w:val="none" w:sz="0" w:space="0" w:color="auto"/>
        <w:left w:val="none" w:sz="0" w:space="0" w:color="auto"/>
        <w:bottom w:val="none" w:sz="0" w:space="0" w:color="auto"/>
        <w:right w:val="none" w:sz="0" w:space="0" w:color="auto"/>
      </w:divBdr>
    </w:div>
    <w:div w:id="1881161620">
      <w:bodyDiv w:val="1"/>
      <w:marLeft w:val="0"/>
      <w:marRight w:val="0"/>
      <w:marTop w:val="0"/>
      <w:marBottom w:val="0"/>
      <w:divBdr>
        <w:top w:val="none" w:sz="0" w:space="0" w:color="auto"/>
        <w:left w:val="none" w:sz="0" w:space="0" w:color="auto"/>
        <w:bottom w:val="none" w:sz="0" w:space="0" w:color="auto"/>
        <w:right w:val="none" w:sz="0" w:space="0" w:color="auto"/>
      </w:divBdr>
    </w:div>
    <w:div w:id="202698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859</Words>
  <Characters>4640</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2019-06-06T13:04:00Z</dcterms:created>
  <dcterms:modified xsi:type="dcterms:W3CDTF">2019-06-06T13:18:00Z</dcterms:modified>
</cp:coreProperties>
</file>