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BFDBF" w14:textId="77777777" w:rsidR="0061204B" w:rsidRPr="003B3BAF" w:rsidRDefault="0061204B" w:rsidP="00E20A74">
      <w:pPr>
        <w:pStyle w:val="NormalWeb"/>
        <w:shd w:val="clear" w:color="auto" w:fill="FFFFFF"/>
        <w:spacing w:before="0" w:after="160" w:line="360" w:lineRule="auto"/>
        <w:rPr>
          <w:rStyle w:val="Forte"/>
          <w:rFonts w:ascii="Garamond" w:hAnsi="Garamond" w:cs="Arial"/>
          <w:color w:val="333333"/>
        </w:rPr>
      </w:pPr>
    </w:p>
    <w:p w14:paraId="586246A7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center"/>
        <w:rPr>
          <w:rFonts w:ascii="Garamond" w:hAnsi="Garamond" w:cs="Arial"/>
          <w:color w:val="333333"/>
        </w:rPr>
      </w:pPr>
      <w:r w:rsidRPr="003B3BAF">
        <w:rPr>
          <w:rStyle w:val="Forte"/>
          <w:rFonts w:ascii="Garamond" w:hAnsi="Garamond" w:cs="Arial"/>
          <w:color w:val="333333"/>
          <w:u w:val="single"/>
        </w:rPr>
        <w:t>PARECER JURÍDICO</w:t>
      </w:r>
    </w:p>
    <w:p w14:paraId="4D3D4C56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333333"/>
        </w:rPr>
      </w:pPr>
      <w:bookmarkStart w:id="0" w:name="_GoBack"/>
    </w:p>
    <w:bookmarkEnd w:id="0"/>
    <w:p w14:paraId="43A6521D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333333"/>
        </w:rPr>
      </w:pPr>
    </w:p>
    <w:p w14:paraId="48C8DFCE" w14:textId="4481EA7E" w:rsidR="00D95B6C" w:rsidRPr="003B3BAF" w:rsidRDefault="0061204B" w:rsidP="006727F7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Helvetica"/>
          <w:color w:val="000000" w:themeColor="text1"/>
        </w:rPr>
      </w:pPr>
      <w:r w:rsidRPr="003B3BAF">
        <w:rPr>
          <w:rFonts w:ascii="Garamond" w:hAnsi="Garamond" w:cs="Arial"/>
          <w:color w:val="333333"/>
        </w:rPr>
        <w:t xml:space="preserve">Requerente: </w:t>
      </w:r>
      <w:r w:rsidRPr="003B3BAF">
        <w:rPr>
          <w:rStyle w:val="Forte"/>
          <w:rFonts w:ascii="Garamond" w:hAnsi="Garamond" w:cs="Arial"/>
          <w:color w:val="333333"/>
        </w:rPr>
        <w:t xml:space="preserve"> </w:t>
      </w:r>
      <w:r w:rsidR="006727F7">
        <w:rPr>
          <w:rStyle w:val="Forte"/>
          <w:rFonts w:ascii="Garamond" w:hAnsi="Garamond" w:cs="Arial"/>
          <w:color w:val="000000" w:themeColor="text1"/>
        </w:rPr>
        <w:t>______________________</w:t>
      </w:r>
    </w:p>
    <w:p w14:paraId="134B8789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333333"/>
        </w:rPr>
      </w:pPr>
    </w:p>
    <w:p w14:paraId="539B3E27" w14:textId="0B75A0FB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>Ementa: </w:t>
      </w:r>
      <w:r w:rsidR="00E20A74" w:rsidRPr="003B3BAF">
        <w:rPr>
          <w:rFonts w:ascii="Garamond" w:hAnsi="Garamond" w:cs="Arial"/>
          <w:color w:val="333333"/>
        </w:rPr>
        <w:t>CORTINA DE VIDRO. INSTALAÇÃO. AUMENTO DE ÁREA EDIFICADA.  ENVIDRAÇAMENTO. MODIFICAÇÃO DE FACHADA. INOCORRÊNCIA.</w:t>
      </w:r>
    </w:p>
    <w:p w14:paraId="05AC3E88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Style w:val="Forte"/>
          <w:rFonts w:ascii="Garamond" w:hAnsi="Garamond" w:cs="Arial"/>
          <w:color w:val="333333"/>
        </w:rPr>
      </w:pPr>
    </w:p>
    <w:p w14:paraId="3BE78B26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Style w:val="Forte"/>
          <w:rFonts w:ascii="Garamond" w:hAnsi="Garamond" w:cs="Arial"/>
          <w:color w:val="333333"/>
        </w:rPr>
      </w:pPr>
      <w:r w:rsidRPr="003B3BAF">
        <w:rPr>
          <w:rStyle w:val="Forte"/>
          <w:rFonts w:ascii="Garamond" w:hAnsi="Garamond" w:cs="Arial"/>
          <w:color w:val="333333"/>
        </w:rPr>
        <w:t>DA CONSULTA</w:t>
      </w:r>
    </w:p>
    <w:p w14:paraId="3CD1FCEF" w14:textId="226B4F5E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 xml:space="preserve">Trata-se de consulta formulada </w:t>
      </w:r>
      <w:r w:rsidR="00575840" w:rsidRPr="003B3BAF">
        <w:rPr>
          <w:rFonts w:ascii="Garamond" w:hAnsi="Garamond" w:cs="Arial"/>
          <w:color w:val="333333"/>
        </w:rPr>
        <w:t>p</w:t>
      </w:r>
      <w:r w:rsidR="00AE1B0E">
        <w:rPr>
          <w:rFonts w:ascii="Garamond" w:hAnsi="Garamond" w:cs="Arial"/>
          <w:color w:val="333333"/>
        </w:rPr>
        <w:t>elos</w:t>
      </w:r>
      <w:r w:rsidRPr="003B3BAF">
        <w:rPr>
          <w:rStyle w:val="Forte"/>
          <w:rFonts w:ascii="Garamond" w:hAnsi="Garamond" w:cs="Arial"/>
          <w:color w:val="000000" w:themeColor="text1"/>
        </w:rPr>
        <w:t>,</w:t>
      </w:r>
      <w:r w:rsidRPr="003B3BAF">
        <w:rPr>
          <w:rFonts w:ascii="Garamond" w:hAnsi="Garamond" w:cs="Arial"/>
          <w:color w:val="333333"/>
        </w:rPr>
        <w:t xml:space="preserve"> </w:t>
      </w:r>
      <w:r w:rsidR="00575840" w:rsidRPr="003B3BAF">
        <w:rPr>
          <w:rFonts w:ascii="Garamond" w:hAnsi="Garamond" w:cs="Arial"/>
          <w:color w:val="333333"/>
        </w:rPr>
        <w:t>proprietário</w:t>
      </w:r>
      <w:r w:rsidR="00AE1B0E">
        <w:rPr>
          <w:rFonts w:ascii="Garamond" w:hAnsi="Garamond" w:cs="Arial"/>
          <w:color w:val="333333"/>
        </w:rPr>
        <w:t>s</w:t>
      </w:r>
      <w:r w:rsidR="00575840" w:rsidRPr="003B3BAF">
        <w:rPr>
          <w:rFonts w:ascii="Garamond" w:hAnsi="Garamond" w:cs="Arial"/>
          <w:color w:val="333333"/>
        </w:rPr>
        <w:t xml:space="preserve"> das</w:t>
      </w:r>
      <w:r w:rsidR="003931A6" w:rsidRPr="003B3BAF">
        <w:rPr>
          <w:rFonts w:ascii="Garamond" w:hAnsi="Garamond" w:cs="Arial"/>
          <w:color w:val="333333"/>
        </w:rPr>
        <w:t xml:space="preserve"> sala</w:t>
      </w:r>
      <w:r w:rsidR="00575840" w:rsidRPr="003B3BAF">
        <w:rPr>
          <w:rFonts w:ascii="Garamond" w:hAnsi="Garamond" w:cs="Arial"/>
          <w:color w:val="333333"/>
        </w:rPr>
        <w:t>s</w:t>
      </w:r>
      <w:r w:rsidR="003931A6" w:rsidRPr="003B3BAF">
        <w:rPr>
          <w:rFonts w:ascii="Garamond" w:hAnsi="Garamond" w:cs="Arial"/>
          <w:color w:val="333333"/>
        </w:rPr>
        <w:t xml:space="preserve"> nº</w:t>
      </w:r>
      <w:r w:rsidR="00575840" w:rsidRPr="003B3BAF">
        <w:rPr>
          <w:rFonts w:ascii="Garamond" w:hAnsi="Garamond" w:cs="Arial"/>
          <w:color w:val="333333"/>
        </w:rPr>
        <w:t xml:space="preserve"> 03 e 04</w:t>
      </w:r>
      <w:r w:rsidR="003931A6" w:rsidRPr="003B3BAF">
        <w:rPr>
          <w:rFonts w:ascii="Garamond" w:hAnsi="Garamond" w:cs="Arial"/>
          <w:color w:val="333333"/>
        </w:rPr>
        <w:t>, Térreo do Edifício The Prime Tamandaré Office, setor Oeste, CEP 74115-060</w:t>
      </w:r>
      <w:r w:rsidRPr="003B3BAF">
        <w:rPr>
          <w:rFonts w:ascii="Garamond" w:hAnsi="Garamond" w:cs="Arial"/>
          <w:color w:val="333333"/>
        </w:rPr>
        <w:t>,</w:t>
      </w:r>
      <w:r w:rsidR="00AE1B0E">
        <w:rPr>
          <w:rFonts w:ascii="Garamond" w:hAnsi="Garamond" w:cs="Arial"/>
          <w:color w:val="333333"/>
        </w:rPr>
        <w:t xml:space="preserve"> </w:t>
      </w:r>
      <w:r w:rsidR="006727F7">
        <w:rPr>
          <w:rFonts w:ascii="Garamond" w:hAnsi="Garamond" w:cs="Arial"/>
          <w:color w:val="333333"/>
        </w:rPr>
        <w:t>___________________________________________________________________________________________________</w:t>
      </w:r>
      <w:r w:rsidR="00AE1B0E">
        <w:rPr>
          <w:rFonts w:ascii="Garamond" w:hAnsi="Garamond" w:cs="Arial"/>
          <w:color w:val="333333"/>
        </w:rPr>
        <w:t>,</w:t>
      </w:r>
      <w:r w:rsidRPr="003B3BAF">
        <w:rPr>
          <w:rFonts w:ascii="Garamond" w:hAnsi="Garamond" w:cs="Arial"/>
          <w:color w:val="333333"/>
        </w:rPr>
        <w:t xml:space="preserve"> </w:t>
      </w:r>
      <w:r w:rsidR="00575840" w:rsidRPr="003B3BAF">
        <w:rPr>
          <w:rFonts w:ascii="Garamond" w:hAnsi="Garamond" w:cs="Arial"/>
          <w:color w:val="333333"/>
        </w:rPr>
        <w:t>a respeito da possibilidade em se realizar alteração de fechamento de mezanino das referidas salas, através de processo de cortina de vidro ou vidro inteiriço até a parte superior.</w:t>
      </w:r>
    </w:p>
    <w:p w14:paraId="5EE12547" w14:textId="6FE24F81" w:rsidR="0061204B" w:rsidRPr="003B3BAF" w:rsidRDefault="006F597F" w:rsidP="0061204B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>O</w:t>
      </w:r>
      <w:r w:rsidR="00FD1ABB">
        <w:rPr>
          <w:rFonts w:ascii="Garamond" w:hAnsi="Garamond" w:cs="Arial"/>
          <w:color w:val="333333"/>
        </w:rPr>
        <w:t>s</w:t>
      </w:r>
      <w:r w:rsidRPr="003B3BAF">
        <w:rPr>
          <w:rFonts w:ascii="Garamond" w:hAnsi="Garamond" w:cs="Arial"/>
          <w:color w:val="333333"/>
        </w:rPr>
        <w:t xml:space="preserve"> requerente</w:t>
      </w:r>
      <w:r w:rsidR="00FD1ABB">
        <w:rPr>
          <w:rFonts w:ascii="Garamond" w:hAnsi="Garamond" w:cs="Arial"/>
          <w:color w:val="333333"/>
        </w:rPr>
        <w:t>s</w:t>
      </w:r>
      <w:r w:rsidR="0061204B" w:rsidRPr="003B3BAF">
        <w:rPr>
          <w:rFonts w:ascii="Garamond" w:hAnsi="Garamond" w:cs="Arial"/>
          <w:color w:val="333333"/>
        </w:rPr>
        <w:t xml:space="preserve"> possu</w:t>
      </w:r>
      <w:r w:rsidR="00FD1ABB">
        <w:rPr>
          <w:rFonts w:ascii="Garamond" w:hAnsi="Garamond" w:cs="Arial"/>
          <w:color w:val="333333"/>
        </w:rPr>
        <w:t xml:space="preserve">em </w:t>
      </w:r>
      <w:r w:rsidR="0061204B" w:rsidRPr="003B3BAF">
        <w:rPr>
          <w:rFonts w:ascii="Garamond" w:hAnsi="Garamond" w:cs="Arial"/>
          <w:color w:val="333333"/>
        </w:rPr>
        <w:t>propriedade</w:t>
      </w:r>
      <w:r w:rsidRPr="003B3BAF">
        <w:rPr>
          <w:rFonts w:ascii="Garamond" w:hAnsi="Garamond" w:cs="Arial"/>
          <w:color w:val="333333"/>
        </w:rPr>
        <w:t>s</w:t>
      </w:r>
      <w:r w:rsidR="0061204B" w:rsidRPr="003B3BAF">
        <w:rPr>
          <w:rFonts w:ascii="Garamond" w:hAnsi="Garamond" w:cs="Arial"/>
          <w:color w:val="333333"/>
        </w:rPr>
        <w:t xml:space="preserve"> no</w:t>
      </w:r>
      <w:r w:rsidR="00FF3B8F" w:rsidRPr="003B3BAF">
        <w:rPr>
          <w:rFonts w:ascii="Garamond" w:hAnsi="Garamond" w:cs="Arial"/>
          <w:color w:val="333333"/>
        </w:rPr>
        <w:t xml:space="preserve"> condomínio comercial</w:t>
      </w:r>
      <w:r w:rsidR="0061204B" w:rsidRPr="003B3BAF">
        <w:rPr>
          <w:rFonts w:ascii="Garamond" w:hAnsi="Garamond" w:cs="Arial"/>
          <w:color w:val="333333"/>
        </w:rPr>
        <w:t xml:space="preserve"> </w:t>
      </w:r>
      <w:r w:rsidR="00FF3B8F" w:rsidRPr="003B3BAF">
        <w:rPr>
          <w:rFonts w:ascii="Garamond" w:hAnsi="Garamond" w:cs="Arial"/>
          <w:color w:val="333333"/>
        </w:rPr>
        <w:t>Ed. The Prime Tamandaré Office</w:t>
      </w:r>
      <w:r w:rsidR="0061204B" w:rsidRPr="003B3BAF">
        <w:rPr>
          <w:rFonts w:ascii="Garamond" w:hAnsi="Garamond" w:cs="Arial"/>
          <w:color w:val="333333"/>
        </w:rPr>
        <w:t xml:space="preserve">, </w:t>
      </w:r>
      <w:r w:rsidRPr="003B3BAF">
        <w:rPr>
          <w:rFonts w:ascii="Garamond" w:hAnsi="Garamond" w:cs="Arial"/>
          <w:color w:val="333333"/>
        </w:rPr>
        <w:t>denominadas loja 03 e loja 04 do Térreo</w:t>
      </w:r>
      <w:r w:rsidR="00575840" w:rsidRPr="003B3BAF">
        <w:rPr>
          <w:rFonts w:ascii="Garamond" w:hAnsi="Garamond" w:cs="Arial"/>
          <w:color w:val="333333"/>
        </w:rPr>
        <w:t>, sendo as mesmas salas vizinhas, com espaço denominado mezanino, tratando-se de piso superior, com varanda aberta a metade do espaço por folha de vidro.</w:t>
      </w:r>
    </w:p>
    <w:p w14:paraId="0368B09F" w14:textId="47AD307A" w:rsidR="006F597F" w:rsidRDefault="006F597F" w:rsidP="006F597F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 xml:space="preserve">Fora protocolado </w:t>
      </w:r>
      <w:r w:rsidR="00575840" w:rsidRPr="003B3BAF">
        <w:rPr>
          <w:rFonts w:ascii="Garamond" w:hAnsi="Garamond" w:cs="Arial"/>
          <w:color w:val="333333"/>
        </w:rPr>
        <w:t>a</w:t>
      </w:r>
      <w:r w:rsidRPr="003B3BAF">
        <w:rPr>
          <w:rFonts w:ascii="Garamond" w:hAnsi="Garamond" w:cs="Arial"/>
          <w:color w:val="333333"/>
        </w:rPr>
        <w:t>os dezenove dias de outubro de 2018, pedido de autorização de fechamento das saca</w:t>
      </w:r>
      <w:r w:rsidR="00575840" w:rsidRPr="003B3BAF">
        <w:rPr>
          <w:rFonts w:ascii="Garamond" w:hAnsi="Garamond" w:cs="Arial"/>
          <w:color w:val="333333"/>
        </w:rPr>
        <w:t>das</w:t>
      </w:r>
      <w:r w:rsidRPr="003B3BAF">
        <w:rPr>
          <w:rFonts w:ascii="Garamond" w:hAnsi="Garamond" w:cs="Arial"/>
          <w:color w:val="333333"/>
        </w:rPr>
        <w:t xml:space="preserve"> do mezanino com procedimento denominado envidraçamento.</w:t>
      </w:r>
    </w:p>
    <w:p w14:paraId="5A298AAA" w14:textId="3FAC4C93" w:rsidR="007351AD" w:rsidRDefault="007351AD" w:rsidP="006F597F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>
        <w:rPr>
          <w:rFonts w:ascii="Garamond" w:hAnsi="Garamond" w:cs="Arial"/>
          <w:color w:val="333333"/>
        </w:rPr>
        <w:t>A respeito do pedido, fora realizado parecer técnico elaborado pelo engenheiro de nº 0015 R00 na data de 30/10/2018, onde pronunciou o mesmo no sentido de que o mero fechamento da área pleiteada ocasionaria em alteração de fechada</w:t>
      </w:r>
      <w:r w:rsidR="00FD1ABB">
        <w:rPr>
          <w:rFonts w:ascii="Garamond" w:hAnsi="Garamond" w:cs="Arial"/>
          <w:color w:val="333333"/>
        </w:rPr>
        <w:t>.</w:t>
      </w:r>
    </w:p>
    <w:p w14:paraId="50028914" w14:textId="6DE6EFE9" w:rsidR="00FD1ABB" w:rsidRDefault="00FD1ABB" w:rsidP="006F597F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>
        <w:rPr>
          <w:rFonts w:ascii="Garamond" w:hAnsi="Garamond" w:cs="Arial"/>
          <w:color w:val="333333"/>
        </w:rPr>
        <w:t xml:space="preserve">Ainda sobre o tema, fora realizado parecer jurídico realizado pela advogada Dra. Leoni </w:t>
      </w:r>
      <w:proofErr w:type="spellStart"/>
      <w:r>
        <w:rPr>
          <w:rFonts w:ascii="Garamond" w:hAnsi="Garamond" w:cs="Arial"/>
          <w:color w:val="333333"/>
        </w:rPr>
        <w:t>Loni</w:t>
      </w:r>
      <w:proofErr w:type="spellEnd"/>
      <w:r>
        <w:rPr>
          <w:rFonts w:ascii="Garamond" w:hAnsi="Garamond" w:cs="Arial"/>
          <w:color w:val="333333"/>
        </w:rPr>
        <w:t xml:space="preserve"> </w:t>
      </w:r>
      <w:proofErr w:type="spellStart"/>
      <w:r>
        <w:rPr>
          <w:rFonts w:ascii="Garamond" w:hAnsi="Garamond" w:cs="Arial"/>
          <w:color w:val="333333"/>
        </w:rPr>
        <w:t>Saifert</w:t>
      </w:r>
      <w:proofErr w:type="spellEnd"/>
      <w:r>
        <w:rPr>
          <w:rFonts w:ascii="Garamond" w:hAnsi="Garamond" w:cs="Arial"/>
          <w:color w:val="333333"/>
        </w:rPr>
        <w:t xml:space="preserve">, datado de 31/10/2018, onde entendeu que a mera instalação de cortina de vidro, não </w:t>
      </w:r>
      <w:r>
        <w:rPr>
          <w:rFonts w:ascii="Garamond" w:hAnsi="Garamond" w:cs="Arial"/>
          <w:color w:val="333333"/>
        </w:rPr>
        <w:lastRenderedPageBreak/>
        <w:t>alterará a harmonia e conjunto arquitetônico do condomínio, ficando condicionado a apresentação anterior do projeto para aprovação.</w:t>
      </w:r>
    </w:p>
    <w:p w14:paraId="4F8EB993" w14:textId="61F24A8F" w:rsidR="00FD1ABB" w:rsidRPr="003B3BAF" w:rsidRDefault="00FD1ABB" w:rsidP="006F597F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>
        <w:rPr>
          <w:rFonts w:ascii="Garamond" w:hAnsi="Garamond" w:cs="Arial"/>
          <w:color w:val="333333"/>
        </w:rPr>
        <w:t>Neste sentido, o Condomínio The Prime Tamandaré Office, representado pelo síndico Sr. Joaquim Esteves, se pronunciou no sentido de que fosse apresentado a liberação para alteração da fachada projeto arquitetônico/estrutural, contendo proposta de alteração, sendo a viabilidade analisada pelo conselho e posteriormente em assembleia.</w:t>
      </w:r>
    </w:p>
    <w:p w14:paraId="450A03B7" w14:textId="6C19C6AF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 xml:space="preserve">Ressalta o requerente, </w:t>
      </w:r>
      <w:r w:rsidR="00536219">
        <w:rPr>
          <w:rFonts w:ascii="Garamond" w:hAnsi="Garamond" w:cs="Arial"/>
          <w:color w:val="333333"/>
        </w:rPr>
        <w:t xml:space="preserve">o fato </w:t>
      </w:r>
      <w:r w:rsidRPr="003B3BAF">
        <w:rPr>
          <w:rFonts w:ascii="Garamond" w:hAnsi="Garamond" w:cs="Arial"/>
          <w:color w:val="333333"/>
        </w:rPr>
        <w:t xml:space="preserve">que </w:t>
      </w:r>
      <w:r w:rsidR="006F597F" w:rsidRPr="003B3BAF">
        <w:rPr>
          <w:rFonts w:ascii="Garamond" w:hAnsi="Garamond" w:cs="Arial"/>
          <w:color w:val="333333"/>
        </w:rPr>
        <w:t xml:space="preserve">devido as intemperes climáticas o referido espaço dificilmente pode ser utilizado, sendo assim </w:t>
      </w:r>
      <w:r w:rsidR="00575840" w:rsidRPr="003B3BAF">
        <w:rPr>
          <w:rFonts w:ascii="Garamond" w:hAnsi="Garamond" w:cs="Arial"/>
          <w:color w:val="333333"/>
        </w:rPr>
        <w:t>fica</w:t>
      </w:r>
      <w:r w:rsidR="006F597F" w:rsidRPr="003B3BAF">
        <w:rPr>
          <w:rFonts w:ascii="Garamond" w:hAnsi="Garamond" w:cs="Arial"/>
          <w:color w:val="333333"/>
        </w:rPr>
        <w:t xml:space="preserve"> impossibilitado de gozar/usufruir de seus imóveis em sua totalidade.</w:t>
      </w:r>
    </w:p>
    <w:p w14:paraId="2B375D5A" w14:textId="309FCD56" w:rsidR="00575840" w:rsidRPr="003B3BAF" w:rsidRDefault="006F597F" w:rsidP="00575840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>Frisa-se ainda</w:t>
      </w:r>
      <w:r w:rsidR="00536219">
        <w:rPr>
          <w:rFonts w:ascii="Garamond" w:hAnsi="Garamond" w:cs="Arial"/>
          <w:color w:val="333333"/>
        </w:rPr>
        <w:t>,</w:t>
      </w:r>
      <w:r w:rsidRPr="003B3BAF">
        <w:rPr>
          <w:rFonts w:ascii="Garamond" w:hAnsi="Garamond" w:cs="Arial"/>
          <w:color w:val="333333"/>
        </w:rPr>
        <w:t xml:space="preserve"> </w:t>
      </w:r>
      <w:r w:rsidR="00575840" w:rsidRPr="003B3BAF">
        <w:rPr>
          <w:rFonts w:ascii="Garamond" w:hAnsi="Garamond" w:cs="Arial"/>
          <w:color w:val="333333"/>
        </w:rPr>
        <w:t>que em caso de</w:t>
      </w:r>
      <w:r w:rsidRPr="003B3BAF">
        <w:rPr>
          <w:rFonts w:ascii="Garamond" w:hAnsi="Garamond" w:cs="Arial"/>
          <w:color w:val="333333"/>
        </w:rPr>
        <w:t xml:space="preserve"> instalação das chamadas cortinas de vidro, seria utilizado os mesmos vidros</w:t>
      </w:r>
      <w:r w:rsidR="00575840" w:rsidRPr="003B3BAF">
        <w:rPr>
          <w:rFonts w:ascii="Garamond" w:hAnsi="Garamond" w:cs="Arial"/>
          <w:color w:val="333333"/>
        </w:rPr>
        <w:t xml:space="preserve"> já existentes, com as</w:t>
      </w:r>
      <w:r w:rsidRPr="003B3BAF">
        <w:rPr>
          <w:rFonts w:ascii="Garamond" w:hAnsi="Garamond" w:cs="Arial"/>
          <w:color w:val="333333"/>
        </w:rPr>
        <w:t xml:space="preserve"> mesmas características do restante do </w:t>
      </w:r>
      <w:r w:rsidR="00575840" w:rsidRPr="003B3BAF">
        <w:rPr>
          <w:rFonts w:ascii="Garamond" w:hAnsi="Garamond" w:cs="Arial"/>
          <w:color w:val="333333"/>
        </w:rPr>
        <w:t>condomínio</w:t>
      </w:r>
      <w:r w:rsidRPr="003B3BAF">
        <w:rPr>
          <w:rFonts w:ascii="Garamond" w:hAnsi="Garamond" w:cs="Arial"/>
          <w:color w:val="333333"/>
        </w:rPr>
        <w:t>, não ocasionando alteração na fachada.</w:t>
      </w:r>
    </w:p>
    <w:p w14:paraId="4BB007C0" w14:textId="0AA95E33" w:rsidR="0061204B" w:rsidRPr="003B3BAF" w:rsidRDefault="0061204B" w:rsidP="00446842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  <w:r w:rsidRPr="003B3BAF">
        <w:rPr>
          <w:rFonts w:ascii="Garamond" w:hAnsi="Garamond" w:cs="Arial"/>
          <w:color w:val="333333"/>
        </w:rPr>
        <w:t>É o relatório. Passamos a opinar.</w:t>
      </w:r>
    </w:p>
    <w:p w14:paraId="1E8F7EFB" w14:textId="77777777" w:rsidR="00575840" w:rsidRPr="003B3BAF" w:rsidRDefault="00575840" w:rsidP="00446842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333333"/>
        </w:rPr>
      </w:pPr>
    </w:p>
    <w:p w14:paraId="3B262FFC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Style w:val="Forte"/>
          <w:rFonts w:ascii="Garamond" w:hAnsi="Garamond" w:cs="Arial"/>
          <w:color w:val="000000" w:themeColor="text1"/>
        </w:rPr>
      </w:pPr>
      <w:r w:rsidRPr="003B3BAF">
        <w:rPr>
          <w:rStyle w:val="Forte"/>
          <w:rFonts w:ascii="Garamond" w:hAnsi="Garamond" w:cs="Arial"/>
          <w:color w:val="000000" w:themeColor="text1"/>
        </w:rPr>
        <w:t>DA FUNDAMENTAÇÃO</w:t>
      </w:r>
    </w:p>
    <w:p w14:paraId="430BAB37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Style w:val="Forte"/>
          <w:rFonts w:ascii="Garamond" w:hAnsi="Garamond" w:cs="Arial"/>
          <w:color w:val="000000" w:themeColor="text1"/>
        </w:rPr>
      </w:pPr>
    </w:p>
    <w:p w14:paraId="6B1D9725" w14:textId="57531B52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ab/>
      </w:r>
      <w:r w:rsidR="006F597F" w:rsidRPr="003B3BAF">
        <w:rPr>
          <w:rFonts w:ascii="Garamond" w:hAnsi="Garamond" w:cs="Arial"/>
          <w:color w:val="000000" w:themeColor="text1"/>
        </w:rPr>
        <w:t>Primeiramente a</w:t>
      </w:r>
      <w:r w:rsidR="004D66A6" w:rsidRPr="003B3BAF">
        <w:rPr>
          <w:rFonts w:ascii="Garamond" w:hAnsi="Garamond" w:cs="Arial"/>
          <w:color w:val="000000" w:themeColor="text1"/>
        </w:rPr>
        <w:t>o que tange a</w:t>
      </w:r>
      <w:r w:rsidRPr="003B3BAF">
        <w:rPr>
          <w:rFonts w:ascii="Garamond" w:hAnsi="Garamond" w:cs="Arial"/>
          <w:color w:val="000000" w:themeColor="text1"/>
        </w:rPr>
        <w:t xml:space="preserve"> ordem jurídica atual, embora assegurada inarredável direito à propriedade privada é fundamental ainda destacar que um imóvel gera o direito de uso, gozo, disposição e reivindicação, conforme disposto em artigo 1228, Código Civil.</w:t>
      </w:r>
    </w:p>
    <w:p w14:paraId="4D5D1823" w14:textId="3C745E51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ab/>
        <w:t>A propriedade é plena e exclusiva, ou seja, não sofre qualquer limitação ou restrição no exer</w:t>
      </w:r>
      <w:r w:rsidR="008D7D59" w:rsidRPr="003B3BAF">
        <w:rPr>
          <w:rFonts w:ascii="Garamond" w:hAnsi="Garamond" w:cs="Arial"/>
          <w:color w:val="000000" w:themeColor="text1"/>
        </w:rPr>
        <w:t>cício do direito de seu titular, respeitando ordenamento próprio constituído pela Convenção de Condomínio.</w:t>
      </w:r>
    </w:p>
    <w:p w14:paraId="0773CBFD" w14:textId="7D523C5A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ab/>
        <w:t xml:space="preserve">Analisando o Regimento Interno do </w:t>
      </w:r>
      <w:r w:rsidR="008D7D59" w:rsidRPr="003B3BAF">
        <w:rPr>
          <w:rFonts w:ascii="Garamond" w:hAnsi="Garamond" w:cs="Arial"/>
          <w:color w:val="000000" w:themeColor="text1"/>
        </w:rPr>
        <w:t>Condomínio</w:t>
      </w:r>
      <w:r w:rsidR="00575840" w:rsidRPr="003B3BAF">
        <w:rPr>
          <w:rFonts w:ascii="Garamond" w:hAnsi="Garamond" w:cs="Arial"/>
          <w:color w:val="000000" w:themeColor="text1"/>
        </w:rPr>
        <w:t xml:space="preserve"> The Prime Tamandaré</w:t>
      </w:r>
      <w:r w:rsidR="008D7D59" w:rsidRPr="003B3BAF">
        <w:rPr>
          <w:rFonts w:ascii="Garamond" w:hAnsi="Garamond" w:cs="Arial"/>
          <w:color w:val="000000" w:themeColor="text1"/>
        </w:rPr>
        <w:t xml:space="preserve"> verifica-se </w:t>
      </w:r>
      <w:r w:rsidR="00591624" w:rsidRPr="003B3BAF">
        <w:rPr>
          <w:rFonts w:ascii="Garamond" w:hAnsi="Garamond" w:cs="Arial"/>
          <w:color w:val="000000" w:themeColor="text1"/>
        </w:rPr>
        <w:t xml:space="preserve">a </w:t>
      </w:r>
      <w:r w:rsidR="00EC2CF5" w:rsidRPr="003B3BAF">
        <w:rPr>
          <w:rFonts w:ascii="Garamond" w:hAnsi="Garamond" w:cs="Arial"/>
          <w:color w:val="000000" w:themeColor="text1"/>
        </w:rPr>
        <w:t>restrição</w:t>
      </w:r>
      <w:r w:rsidR="00591624" w:rsidRPr="003B3BAF">
        <w:rPr>
          <w:rFonts w:ascii="Garamond" w:hAnsi="Garamond" w:cs="Arial"/>
          <w:color w:val="000000" w:themeColor="text1"/>
        </w:rPr>
        <w:t xml:space="preserve"> aos condôminos em se proceder</w:t>
      </w:r>
      <w:r w:rsidR="008D7D59" w:rsidRPr="003B3BAF">
        <w:rPr>
          <w:rFonts w:ascii="Garamond" w:hAnsi="Garamond" w:cs="Arial"/>
          <w:color w:val="000000" w:themeColor="text1"/>
        </w:rPr>
        <w:t xml:space="preserve"> instalações de objetos e artifícios de propaganda, vejamos:</w:t>
      </w:r>
    </w:p>
    <w:p w14:paraId="00655127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Arial"/>
          <w:color w:val="000000" w:themeColor="text1"/>
        </w:rPr>
      </w:pPr>
    </w:p>
    <w:p w14:paraId="49E6E709" w14:textId="6AF7B768" w:rsidR="0061204B" w:rsidRPr="003B3BAF" w:rsidRDefault="008D7D59" w:rsidP="0061204B">
      <w:pPr>
        <w:pStyle w:val="NormalWeb"/>
        <w:numPr>
          <w:ilvl w:val="0"/>
          <w:numId w:val="8"/>
        </w:numPr>
        <w:shd w:val="clear" w:color="auto" w:fill="FFFFFF"/>
        <w:suppressAutoHyphens w:val="0"/>
        <w:spacing w:before="0" w:after="160" w:line="360" w:lineRule="auto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>ARTIGO 7.3</w:t>
      </w:r>
      <w:r w:rsidR="0061204B" w:rsidRPr="003B3BAF">
        <w:rPr>
          <w:rFonts w:ascii="Garamond" w:hAnsi="Garamond" w:cs="Arial"/>
          <w:color w:val="000000" w:themeColor="text1"/>
        </w:rPr>
        <w:t xml:space="preserve">, </w:t>
      </w:r>
      <w:r w:rsidRPr="003B3BAF">
        <w:rPr>
          <w:rFonts w:ascii="Garamond" w:hAnsi="Garamond" w:cs="Arial"/>
          <w:color w:val="000000" w:themeColor="text1"/>
        </w:rPr>
        <w:t>LETRA E</w:t>
      </w:r>
      <w:r w:rsidR="0061204B" w:rsidRPr="003B3BAF">
        <w:rPr>
          <w:rFonts w:ascii="Garamond" w:hAnsi="Garamond" w:cs="Arial"/>
          <w:color w:val="000000" w:themeColor="text1"/>
        </w:rPr>
        <w:t xml:space="preserve"> </w:t>
      </w:r>
      <w:r w:rsidRPr="003B3BAF">
        <w:rPr>
          <w:rFonts w:ascii="Garamond" w:hAnsi="Garamond" w:cs="Arial"/>
          <w:color w:val="000000" w:themeColor="text1"/>
        </w:rPr>
        <w:t>–</w:t>
      </w:r>
      <w:r w:rsidR="0061204B" w:rsidRPr="003B3BAF">
        <w:rPr>
          <w:rFonts w:ascii="Garamond" w:hAnsi="Garamond" w:cs="Arial"/>
          <w:color w:val="000000" w:themeColor="text1"/>
        </w:rPr>
        <w:t xml:space="preserve"> </w:t>
      </w:r>
      <w:r w:rsidRPr="003B3BAF">
        <w:rPr>
          <w:rFonts w:ascii="Garamond" w:hAnsi="Garamond" w:cs="Arial"/>
          <w:color w:val="000000" w:themeColor="text1"/>
        </w:rPr>
        <w:t>Convenção de Condomínio</w:t>
      </w:r>
      <w:r w:rsidR="0061204B" w:rsidRPr="003B3BAF">
        <w:rPr>
          <w:rFonts w:ascii="Garamond" w:hAnsi="Garamond" w:cs="Arial"/>
          <w:color w:val="000000" w:themeColor="text1"/>
        </w:rPr>
        <w:t xml:space="preserve"> </w:t>
      </w:r>
      <w:r w:rsidR="00EC2CF5" w:rsidRPr="003B3BAF">
        <w:rPr>
          <w:rFonts w:ascii="Garamond" w:hAnsi="Garamond" w:cs="Arial"/>
          <w:color w:val="000000" w:themeColor="text1"/>
        </w:rPr>
        <w:t>–</w:t>
      </w:r>
      <w:r w:rsidR="0061204B" w:rsidRPr="003B3BAF">
        <w:rPr>
          <w:rFonts w:ascii="Garamond" w:hAnsi="Garamond" w:cs="Arial"/>
          <w:color w:val="000000" w:themeColor="text1"/>
        </w:rPr>
        <w:t xml:space="preserve"> </w:t>
      </w:r>
      <w:r w:rsidR="00EC2CF5" w:rsidRPr="003B3BAF">
        <w:rPr>
          <w:rFonts w:ascii="Garamond" w:hAnsi="Garamond" w:cs="Arial"/>
          <w:color w:val="000000" w:themeColor="text1"/>
        </w:rPr>
        <w:t xml:space="preserve">“colocar ou fixar toldos, placas, letreiros de propaganda ou quaisquer outros objetos nas janelas, fachadas, ou partes </w:t>
      </w:r>
      <w:r w:rsidR="00EC2CF5" w:rsidRPr="003B3BAF">
        <w:rPr>
          <w:rFonts w:ascii="Garamond" w:hAnsi="Garamond" w:cs="Arial"/>
          <w:color w:val="000000" w:themeColor="text1"/>
        </w:rPr>
        <w:lastRenderedPageBreak/>
        <w:t>comuns do edifício, observando-se os condôminos titulares das lojas as normas próprias, estabelecidas nessa convenção e as demais legalmente exigíveis”;</w:t>
      </w:r>
    </w:p>
    <w:p w14:paraId="3A3A2202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left="720"/>
        <w:jc w:val="both"/>
        <w:rPr>
          <w:rFonts w:ascii="Garamond" w:hAnsi="Garamond" w:cs="Arial"/>
          <w:color w:val="000000" w:themeColor="text1"/>
        </w:rPr>
      </w:pPr>
    </w:p>
    <w:p w14:paraId="63377181" w14:textId="7732C7F5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>O Regimento por si só, pressupõe pessoas subordinadas as normas, mesmo que a curto ou longo período.</w:t>
      </w:r>
    </w:p>
    <w:p w14:paraId="610A4657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 w:cs="Arial"/>
          <w:color w:val="000000" w:themeColor="text1"/>
        </w:rPr>
      </w:pPr>
    </w:p>
    <w:p w14:paraId="48487110" w14:textId="77777777" w:rsidR="000B6E0B" w:rsidRDefault="0061204B" w:rsidP="000B6E0B">
      <w:pPr>
        <w:pStyle w:val="NormalWeb"/>
        <w:numPr>
          <w:ilvl w:val="0"/>
          <w:numId w:val="8"/>
        </w:numPr>
        <w:shd w:val="clear" w:color="auto" w:fill="FFFFFF"/>
        <w:suppressAutoHyphens w:val="0"/>
        <w:spacing w:before="0" w:after="160" w:line="360" w:lineRule="auto"/>
        <w:jc w:val="both"/>
        <w:rPr>
          <w:rFonts w:ascii="Garamond" w:hAnsi="Garamond"/>
          <w:color w:val="000000" w:themeColor="text1"/>
          <w:bdr w:val="none" w:sz="0" w:space="0" w:color="auto" w:frame="1"/>
        </w:rPr>
      </w:pPr>
      <w:r w:rsidRPr="003B3BAF">
        <w:rPr>
          <w:rFonts w:ascii="Garamond" w:hAnsi="Garamond" w:cs="Arial"/>
          <w:color w:val="000000" w:themeColor="text1"/>
        </w:rPr>
        <w:t xml:space="preserve">ARTIGO </w:t>
      </w:r>
      <w:r w:rsidR="00CB40C5" w:rsidRPr="003B3BAF">
        <w:rPr>
          <w:rFonts w:ascii="Garamond" w:hAnsi="Garamond" w:cs="Arial"/>
          <w:color w:val="000000" w:themeColor="text1"/>
        </w:rPr>
        <w:t>7.1, LETRA E</w:t>
      </w:r>
      <w:r w:rsidRPr="003B3BAF">
        <w:rPr>
          <w:rFonts w:ascii="Garamond" w:hAnsi="Garamond" w:cs="Arial"/>
          <w:color w:val="000000" w:themeColor="text1"/>
        </w:rPr>
        <w:t xml:space="preserve"> – </w:t>
      </w:r>
      <w:r w:rsidR="00CB40C5" w:rsidRPr="003B3BAF">
        <w:rPr>
          <w:rFonts w:ascii="Garamond" w:hAnsi="Garamond" w:cs="Arial"/>
          <w:color w:val="000000" w:themeColor="text1"/>
        </w:rPr>
        <w:t>Convenção de Condomínio</w:t>
      </w:r>
      <w:r w:rsidRPr="003B3BAF">
        <w:rPr>
          <w:rFonts w:ascii="Garamond" w:hAnsi="Garamond" w:cs="Arial"/>
          <w:color w:val="000000" w:themeColor="text1"/>
        </w:rPr>
        <w:t xml:space="preserve"> – elenca como direito do proprietário em “fruir” do seu bem imóvel</w:t>
      </w:r>
      <w:r w:rsidR="00CB40C5" w:rsidRPr="003B3BAF">
        <w:rPr>
          <w:rFonts w:ascii="Garamond" w:hAnsi="Garamond" w:cs="Arial"/>
          <w:color w:val="000000" w:themeColor="text1"/>
        </w:rPr>
        <w:t>, “o de procederem a modificações ou reformas internas nas suas respectivas unidades, independentemente de consentimento dos demais condôminos, dentro do horário compreendido entre 20:00 e 07:00 horas.</w:t>
      </w:r>
    </w:p>
    <w:p w14:paraId="3C26ED8F" w14:textId="77777777" w:rsidR="000B6E0B" w:rsidRDefault="000B6E0B" w:rsidP="000B6E0B">
      <w:pPr>
        <w:pStyle w:val="NormalWeb"/>
        <w:shd w:val="clear" w:color="auto" w:fill="FFFFFF"/>
        <w:suppressAutoHyphens w:val="0"/>
        <w:spacing w:before="0" w:after="160" w:line="360" w:lineRule="auto"/>
        <w:ind w:firstLine="360"/>
        <w:jc w:val="both"/>
        <w:rPr>
          <w:rFonts w:ascii="Garamond" w:hAnsi="Garamond"/>
          <w:color w:val="000000" w:themeColor="text1"/>
          <w:bdr w:val="none" w:sz="0" w:space="0" w:color="auto" w:frame="1"/>
        </w:rPr>
      </w:pPr>
    </w:p>
    <w:p w14:paraId="006A61B8" w14:textId="1E263E0B" w:rsidR="00575840" w:rsidRPr="000B6E0B" w:rsidRDefault="00CB40C5" w:rsidP="000B6E0B">
      <w:pPr>
        <w:pStyle w:val="NormalWeb"/>
        <w:shd w:val="clear" w:color="auto" w:fill="FFFFFF"/>
        <w:suppressAutoHyphens w:val="0"/>
        <w:spacing w:before="0" w:after="160" w:line="360" w:lineRule="auto"/>
        <w:ind w:firstLine="360"/>
        <w:jc w:val="both"/>
        <w:rPr>
          <w:rFonts w:ascii="Garamond" w:hAnsi="Garamond"/>
          <w:color w:val="000000" w:themeColor="text1"/>
          <w:bdr w:val="none" w:sz="0" w:space="0" w:color="auto" w:frame="1"/>
        </w:rPr>
      </w:pPr>
      <w:r w:rsidRPr="000B6E0B">
        <w:rPr>
          <w:rFonts w:ascii="Garamond" w:hAnsi="Garamond" w:cs="Arial"/>
          <w:color w:val="000000" w:themeColor="text1"/>
        </w:rPr>
        <w:t>De acordo com o dicionário brasileiro, o significado de FRUIR é: “</w:t>
      </w:r>
      <w:r w:rsidRPr="000B6E0B">
        <w:rPr>
          <w:rFonts w:ascii="Garamond" w:hAnsi="Garamond" w:cs="Arial"/>
          <w:i/>
          <w:color w:val="000000" w:themeColor="text1"/>
        </w:rPr>
        <w:t>Ação</w:t>
      </w:r>
      <w:r w:rsidRPr="000B6E0B">
        <w:rPr>
          <w:rFonts w:ascii="Garamond" w:hAnsi="Garamond"/>
          <w:i/>
          <w:color w:val="000000" w:themeColor="text1"/>
          <w:bdr w:val="none" w:sz="0" w:space="0" w:color="auto" w:frame="1"/>
        </w:rPr>
        <w:t>, desenvolvimento</w:t>
      </w:r>
      <w:r w:rsidR="0061204B" w:rsidRPr="000B6E0B">
        <w:rPr>
          <w:rFonts w:ascii="Garamond" w:hAnsi="Garamond" w:cs="Arial"/>
          <w:color w:val="000000" w:themeColor="text1"/>
        </w:rPr>
        <w:t xml:space="preserve">. </w:t>
      </w:r>
      <w:r w:rsidR="0061204B" w:rsidRPr="000B6E0B">
        <w:rPr>
          <w:rFonts w:ascii="Garamond" w:hAnsi="Garamond"/>
          <w:i/>
          <w:color w:val="000000" w:themeColor="text1"/>
          <w:bdr w:val="none" w:sz="0" w:space="0" w:color="auto" w:frame="1"/>
        </w:rPr>
        <w:t xml:space="preserve">ou efeito de fruir. Ação de aproveitar ou usufruir de alguma oportunidade. Utilização prazerosa de algo; gozo. </w:t>
      </w:r>
      <w:r w:rsidR="0061204B" w:rsidRPr="000B6E0B">
        <w:rPr>
          <w:rStyle w:val="tag"/>
          <w:rFonts w:ascii="Garamond" w:hAnsi="Garamond"/>
          <w:i/>
          <w:color w:val="000000" w:themeColor="text1"/>
          <w:bdr w:val="none" w:sz="0" w:space="0" w:color="auto" w:frame="1"/>
        </w:rPr>
        <w:t>[Jurídico]</w:t>
      </w:r>
      <w:r w:rsidR="0061204B" w:rsidRPr="000B6E0B">
        <w:rPr>
          <w:rFonts w:ascii="Garamond" w:hAnsi="Garamond"/>
          <w:i/>
          <w:color w:val="000000" w:themeColor="text1"/>
          <w:bdr w:val="none" w:sz="0" w:space="0" w:color="auto" w:frame="1"/>
        </w:rPr>
        <w:t xml:space="preserve"> Direito Civil. Ação de aproveitar ou fazer uso de alguma coisa (numa acepção mais ampla). </w:t>
      </w:r>
      <w:r w:rsidR="0061204B" w:rsidRPr="000B6E0B">
        <w:rPr>
          <w:rFonts w:ascii="Garamond" w:hAnsi="Garamond"/>
          <w:color w:val="000000" w:themeColor="text1"/>
          <w:bdr w:val="none" w:sz="0" w:space="0" w:color="auto" w:frame="1"/>
        </w:rPr>
        <w:t>Dessa maneira, entende que o proprietário pode usar de seu bem desde que não incomode os demais associados e não infrinjam as normas legais.</w:t>
      </w:r>
    </w:p>
    <w:p w14:paraId="7C861043" w14:textId="7B6BC24F" w:rsidR="00F0015A" w:rsidRPr="003B3BAF" w:rsidRDefault="00F0015A" w:rsidP="00F0015A">
      <w:pPr>
        <w:pStyle w:val="NormalWeb"/>
        <w:shd w:val="clear" w:color="auto" w:fill="FFFFFF"/>
        <w:suppressAutoHyphens w:val="0"/>
        <w:spacing w:before="0" w:after="160" w:line="360" w:lineRule="auto"/>
        <w:jc w:val="both"/>
        <w:rPr>
          <w:rFonts w:ascii="Garamond" w:hAnsi="Garamond"/>
          <w:color w:val="000000" w:themeColor="text1"/>
          <w:bdr w:val="none" w:sz="0" w:space="0" w:color="auto" w:frame="1"/>
        </w:rPr>
      </w:pPr>
      <w:r w:rsidRPr="003B3BAF">
        <w:rPr>
          <w:rFonts w:ascii="Garamond" w:hAnsi="Garamond"/>
          <w:color w:val="000000" w:themeColor="text1"/>
          <w:bdr w:val="none" w:sz="0" w:space="0" w:color="auto" w:frame="1"/>
        </w:rPr>
        <w:t xml:space="preserve">      Ao que tange a substituição dos vidros localizados na área externa/mezanino, a Convenção de Condomínio se faz omissa, não trazendo limites, ou restrições acerca do tema.</w:t>
      </w:r>
    </w:p>
    <w:p w14:paraId="28BE875D" w14:textId="223E50F8" w:rsidR="0061204B" w:rsidRPr="000B6E0B" w:rsidRDefault="0061204B" w:rsidP="000B6E0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/>
          <w:color w:val="000000" w:themeColor="text1"/>
          <w:bdr w:val="none" w:sz="0" w:space="0" w:color="auto" w:frame="1"/>
        </w:rPr>
      </w:pPr>
      <w:r w:rsidRPr="003B3BAF">
        <w:rPr>
          <w:rFonts w:ascii="Garamond" w:hAnsi="Garamond"/>
          <w:color w:val="000000" w:themeColor="text1"/>
          <w:bdr w:val="none" w:sz="0" w:space="0" w:color="auto" w:frame="1"/>
        </w:rPr>
        <w:t>O direito de fruição (</w:t>
      </w:r>
      <w:r w:rsidRPr="003B3BAF">
        <w:rPr>
          <w:rFonts w:ascii="Garamond" w:hAnsi="Garamond"/>
          <w:i/>
          <w:color w:val="000000" w:themeColor="text1"/>
          <w:bdr w:val="none" w:sz="0" w:space="0" w:color="auto" w:frame="1"/>
        </w:rPr>
        <w:t xml:space="preserve">jus </w:t>
      </w:r>
      <w:proofErr w:type="spellStart"/>
      <w:r w:rsidRPr="003B3BAF">
        <w:rPr>
          <w:rFonts w:ascii="Garamond" w:hAnsi="Garamond"/>
          <w:i/>
          <w:color w:val="000000" w:themeColor="text1"/>
          <w:bdr w:val="none" w:sz="0" w:space="0" w:color="auto" w:frame="1"/>
        </w:rPr>
        <w:t>fruendi</w:t>
      </w:r>
      <w:proofErr w:type="spellEnd"/>
      <w:r w:rsidRPr="003B3BAF">
        <w:rPr>
          <w:rFonts w:ascii="Garamond" w:hAnsi="Garamond"/>
          <w:color w:val="000000" w:themeColor="text1"/>
          <w:bdr w:val="none" w:sz="0" w:space="0" w:color="auto" w:frame="1"/>
        </w:rPr>
        <w:t xml:space="preserve">) traduz-se não somente pela utilização do bem, mas principalmente pela extração de seus resultados econômicos, ou seja, pela percepção dos frutos gerados pelo bem. </w:t>
      </w:r>
    </w:p>
    <w:p w14:paraId="305BB2C2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>O direito de disposição (</w:t>
      </w:r>
      <w:r w:rsidRPr="003B3BAF">
        <w:rPr>
          <w:rFonts w:ascii="Garamond" w:hAnsi="Garamond" w:cs="Arial"/>
          <w:i/>
          <w:color w:val="000000" w:themeColor="text1"/>
        </w:rPr>
        <w:t xml:space="preserve">jus </w:t>
      </w:r>
      <w:proofErr w:type="spellStart"/>
      <w:r w:rsidRPr="003B3BAF">
        <w:rPr>
          <w:rFonts w:ascii="Garamond" w:hAnsi="Garamond" w:cs="Arial"/>
          <w:i/>
          <w:color w:val="000000" w:themeColor="text1"/>
        </w:rPr>
        <w:t>disponendi</w:t>
      </w:r>
      <w:proofErr w:type="spellEnd"/>
      <w:r w:rsidRPr="003B3BAF">
        <w:rPr>
          <w:rFonts w:ascii="Garamond" w:hAnsi="Garamond" w:cs="Arial"/>
          <w:color w:val="000000" w:themeColor="text1"/>
        </w:rPr>
        <w:t>) é tradução do direito de alienar livremente o bem, assim representado pela possibilidade de venda, doação, permuta, locação, etc. Dispor da coisa não significa somente a disposição material do bem, mas também o consumo.</w:t>
      </w:r>
    </w:p>
    <w:p w14:paraId="48E58A40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 w:cs="Arial"/>
          <w:color w:val="000000" w:themeColor="text1"/>
        </w:rPr>
      </w:pPr>
    </w:p>
    <w:p w14:paraId="28F5A7EC" w14:textId="77777777" w:rsidR="0061204B" w:rsidRPr="003B3BAF" w:rsidRDefault="0061204B" w:rsidP="0061204B">
      <w:pPr>
        <w:tabs>
          <w:tab w:val="left" w:pos="1701"/>
          <w:tab w:val="left" w:pos="2268"/>
        </w:tabs>
        <w:spacing w:line="360" w:lineRule="auto"/>
        <w:rPr>
          <w:rFonts w:ascii="Garamond" w:hAnsi="Garamond" w:cs="Courier New"/>
          <w:sz w:val="24"/>
          <w:szCs w:val="24"/>
        </w:rPr>
      </w:pPr>
      <w:r w:rsidRPr="003B3BAF">
        <w:rPr>
          <w:rFonts w:ascii="Garamond" w:hAnsi="Garamond" w:cs="Arial"/>
          <w:color w:val="000000" w:themeColor="text1"/>
          <w:sz w:val="24"/>
          <w:szCs w:val="24"/>
        </w:rPr>
        <w:t xml:space="preserve">      </w:t>
      </w:r>
      <w:r w:rsidRPr="003B3BAF">
        <w:rPr>
          <w:rFonts w:ascii="Garamond" w:hAnsi="Garamond" w:cs="Courier New"/>
          <w:sz w:val="24"/>
          <w:szCs w:val="24"/>
        </w:rPr>
        <w:t>Neste sentido, necessária se faz a citação da Súmula Vinculante de Nº 260 do Superior Tribunal de Justiça:</w:t>
      </w:r>
    </w:p>
    <w:p w14:paraId="7337C712" w14:textId="77777777" w:rsidR="0061204B" w:rsidRPr="003B3BAF" w:rsidRDefault="0061204B" w:rsidP="0061204B">
      <w:pPr>
        <w:tabs>
          <w:tab w:val="left" w:pos="1701"/>
          <w:tab w:val="left" w:pos="2268"/>
        </w:tabs>
        <w:spacing w:line="360" w:lineRule="auto"/>
        <w:rPr>
          <w:rFonts w:ascii="Garamond" w:hAnsi="Garamond" w:cs="Courier New"/>
          <w:sz w:val="24"/>
          <w:szCs w:val="24"/>
        </w:rPr>
      </w:pPr>
    </w:p>
    <w:p w14:paraId="3DDD028A" w14:textId="77777777" w:rsidR="0061204B" w:rsidRPr="003B3BAF" w:rsidRDefault="0061204B" w:rsidP="0061204B">
      <w:pPr>
        <w:pStyle w:val="NormalWeb"/>
        <w:spacing w:line="360" w:lineRule="auto"/>
        <w:ind w:left="2124"/>
        <w:rPr>
          <w:rFonts w:ascii="Garamond" w:hAnsi="Garamond" w:cs="Courier New"/>
        </w:rPr>
      </w:pPr>
      <w:r w:rsidRPr="003B3BAF">
        <w:rPr>
          <w:rFonts w:ascii="Garamond" w:hAnsi="Garamond" w:cs="Courier New"/>
        </w:rPr>
        <w:lastRenderedPageBreak/>
        <w:t xml:space="preserve">“Súmula 260 - A </w:t>
      </w:r>
      <w:proofErr w:type="spellStart"/>
      <w:r w:rsidRPr="003B3BAF">
        <w:rPr>
          <w:rFonts w:ascii="Garamond" w:hAnsi="Garamond" w:cs="Courier New"/>
        </w:rPr>
        <w:t>convenc</w:t>
      </w:r>
      <w:r w:rsidRPr="003B3BAF">
        <w:t>̧</w:t>
      </w:r>
      <w:r w:rsidRPr="003B3BAF">
        <w:rPr>
          <w:rFonts w:ascii="Garamond" w:hAnsi="Garamond" w:cs="Courier New"/>
        </w:rPr>
        <w:t>ão</w:t>
      </w:r>
      <w:proofErr w:type="spellEnd"/>
      <w:r w:rsidRPr="003B3BAF">
        <w:rPr>
          <w:rFonts w:ascii="Garamond" w:hAnsi="Garamond" w:cs="Courier New"/>
        </w:rPr>
        <w:t xml:space="preserve"> de </w:t>
      </w:r>
      <w:proofErr w:type="spellStart"/>
      <w:r w:rsidRPr="003B3BAF">
        <w:rPr>
          <w:rFonts w:ascii="Garamond" w:hAnsi="Garamond" w:cs="Courier New"/>
        </w:rPr>
        <w:t>condomínio</w:t>
      </w:r>
      <w:proofErr w:type="spellEnd"/>
      <w:r w:rsidRPr="003B3BAF">
        <w:rPr>
          <w:rFonts w:ascii="Garamond" w:hAnsi="Garamond" w:cs="Courier New"/>
        </w:rPr>
        <w:t xml:space="preserve"> aprovada, ainda que sem registro, é eficaz para regular as </w:t>
      </w:r>
      <w:proofErr w:type="spellStart"/>
      <w:r w:rsidRPr="003B3BAF">
        <w:rPr>
          <w:rFonts w:ascii="Garamond" w:hAnsi="Garamond" w:cs="Courier New"/>
        </w:rPr>
        <w:t>relac</w:t>
      </w:r>
      <w:r w:rsidRPr="003B3BAF">
        <w:t>̧</w:t>
      </w:r>
      <w:r w:rsidRPr="003B3BAF">
        <w:rPr>
          <w:rFonts w:ascii="Garamond" w:hAnsi="Garamond" w:cs="Courier New"/>
        </w:rPr>
        <w:t>ões</w:t>
      </w:r>
      <w:proofErr w:type="spellEnd"/>
      <w:r w:rsidRPr="003B3BAF">
        <w:rPr>
          <w:rFonts w:ascii="Garamond" w:hAnsi="Garamond" w:cs="Courier New"/>
        </w:rPr>
        <w:t xml:space="preserve"> entre os condôminos. </w:t>
      </w:r>
    </w:p>
    <w:p w14:paraId="280C65EE" w14:textId="77777777" w:rsidR="0061204B" w:rsidRPr="003B3BAF" w:rsidRDefault="0061204B" w:rsidP="000B6E0B">
      <w:pPr>
        <w:tabs>
          <w:tab w:val="left" w:pos="1701"/>
          <w:tab w:val="left" w:pos="2268"/>
        </w:tabs>
        <w:spacing w:line="360" w:lineRule="auto"/>
        <w:rPr>
          <w:rFonts w:ascii="Garamond" w:hAnsi="Garamond" w:cs="Courier New"/>
          <w:sz w:val="24"/>
          <w:szCs w:val="24"/>
        </w:rPr>
      </w:pPr>
    </w:p>
    <w:p w14:paraId="3D4D4724" w14:textId="28F0356D" w:rsidR="00142288" w:rsidRPr="003B3BAF" w:rsidRDefault="0061204B" w:rsidP="000B6E0B">
      <w:pPr>
        <w:pStyle w:val="Corpodetexto"/>
        <w:spacing w:before="1" w:line="360" w:lineRule="auto"/>
        <w:ind w:right="225" w:firstLine="360"/>
        <w:jc w:val="both"/>
        <w:rPr>
          <w:rFonts w:ascii="Garamond" w:hAnsi="Garamond"/>
        </w:rPr>
      </w:pPr>
      <w:r w:rsidRPr="003B3BAF">
        <w:rPr>
          <w:rFonts w:ascii="Garamond" w:hAnsi="Garamond" w:cs="Courier New"/>
        </w:rPr>
        <w:t>Neste desiderato, a convenção de condomínio por si só possui eficácia para dirimir quest</w:t>
      </w:r>
      <w:r w:rsidR="00F0015A" w:rsidRPr="003B3BAF">
        <w:rPr>
          <w:rFonts w:ascii="Garamond" w:hAnsi="Garamond" w:cs="Courier New"/>
        </w:rPr>
        <w:t>ões a respeito de alterações e modificações em suas salas</w:t>
      </w:r>
      <w:r w:rsidRPr="003B3BAF">
        <w:rPr>
          <w:rFonts w:ascii="Garamond" w:hAnsi="Garamond" w:cs="Courier New"/>
        </w:rPr>
        <w:t xml:space="preserve">, </w:t>
      </w:r>
      <w:r w:rsidR="00F0015A" w:rsidRPr="003B3BAF">
        <w:rPr>
          <w:rFonts w:ascii="Garamond" w:hAnsi="Garamond"/>
        </w:rPr>
        <w:t>a</w:t>
      </w:r>
      <w:r w:rsidRPr="003B3BAF">
        <w:rPr>
          <w:rFonts w:ascii="Garamond" w:hAnsi="Garamond"/>
        </w:rPr>
        <w:t xml:space="preserve"> convenção está para os condôminos como está a Constituição Federal da República para o cidadão. Nela é que está prevista a forma de “governo”, de “sufrágio”, da forma de arrecadação de “recursos” para a manutenção e conservação da coisa comum e as “garantias fundamentais” de cada</w:t>
      </w:r>
      <w:r w:rsidRPr="003B3BAF">
        <w:rPr>
          <w:rFonts w:ascii="Garamond" w:hAnsi="Garamond"/>
          <w:spacing w:val="-2"/>
        </w:rPr>
        <w:t xml:space="preserve"> </w:t>
      </w:r>
      <w:r w:rsidR="00F0015A" w:rsidRPr="003B3BAF">
        <w:rPr>
          <w:rFonts w:ascii="Garamond" w:hAnsi="Garamond"/>
        </w:rPr>
        <w:t>um, desta monta não existe óbice a instalação/substituição dos vidros do mezaninos por vidro inteiriço.</w:t>
      </w:r>
    </w:p>
    <w:p w14:paraId="2F6CD086" w14:textId="032F1B9E" w:rsidR="00575840" w:rsidRPr="003B3BAF" w:rsidRDefault="00575840" w:rsidP="00F0015A">
      <w:pPr>
        <w:pStyle w:val="Corpodetexto"/>
        <w:spacing w:before="1" w:line="360" w:lineRule="auto"/>
        <w:ind w:right="225" w:firstLine="360"/>
        <w:jc w:val="both"/>
        <w:rPr>
          <w:rFonts w:ascii="Garamond" w:hAnsi="Garamond"/>
        </w:rPr>
      </w:pPr>
      <w:r w:rsidRPr="003B3BAF">
        <w:rPr>
          <w:rFonts w:ascii="Garamond" w:hAnsi="Garamond"/>
        </w:rPr>
        <w:t>Neste sentido, inexistindo óbice a conduta pretendida pelo consultante, não há que se falar em qualquer proibição do intuito, objeto do presente relatório, sendo totalmente possível, a instalação da chamada cortina de vidro na varanda do mezanino do imóvel, uma vez que não gera nem ocasiona qualquer dano estrutural ou estético ao condomínio.</w:t>
      </w:r>
    </w:p>
    <w:p w14:paraId="6FD75B21" w14:textId="7989723B" w:rsidR="000F2EB2" w:rsidRPr="003B3BAF" w:rsidRDefault="00575840" w:rsidP="000B6E0B">
      <w:pPr>
        <w:pStyle w:val="Corpodetexto"/>
        <w:spacing w:before="1" w:line="360" w:lineRule="auto"/>
        <w:ind w:right="225" w:firstLine="360"/>
        <w:jc w:val="both"/>
        <w:rPr>
          <w:rFonts w:ascii="Garamond" w:hAnsi="Garamond"/>
        </w:rPr>
      </w:pPr>
      <w:r w:rsidRPr="003B3BAF">
        <w:rPr>
          <w:rFonts w:ascii="Garamond" w:hAnsi="Garamond"/>
        </w:rPr>
        <w:t>Verifica-se ainda que a Convenção de Condomínio, confere direito ao condômino, titular de duas ou mais unidades autônomas, contíguas entre si, horizontal ou verticalmente, reuni-las num só todo, bem como utilizar-se com exclusividade de parte da área do hall dos elevadores, isto é o que prevê o art. 7.1, letra E, E.1 e F</w:t>
      </w:r>
      <w:r w:rsidR="000F2EB2" w:rsidRPr="003B3BAF">
        <w:rPr>
          <w:rFonts w:ascii="Garamond" w:hAnsi="Garamond"/>
        </w:rPr>
        <w:t>.</w:t>
      </w:r>
    </w:p>
    <w:p w14:paraId="6CA4C4A2" w14:textId="1A75FC6B" w:rsidR="0061204B" w:rsidRDefault="00142288" w:rsidP="00D04E4C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/>
        </w:rPr>
      </w:pPr>
      <w:r w:rsidRPr="003B3BAF">
        <w:rPr>
          <w:rFonts w:ascii="Garamond" w:hAnsi="Garamond" w:cs="Courier New"/>
          <w:kern w:val="18"/>
          <w:lang w:eastAsia="pt-BR"/>
        </w:rPr>
        <w:t xml:space="preserve">       Destaco ainda que em visita ao local disposto no presente parecer, verific</w:t>
      </w:r>
      <w:r w:rsidR="000F2EB2" w:rsidRPr="003B3BAF">
        <w:rPr>
          <w:rFonts w:ascii="Garamond" w:hAnsi="Garamond" w:cs="Courier New"/>
          <w:kern w:val="18"/>
          <w:lang w:eastAsia="pt-BR"/>
        </w:rPr>
        <w:t>a-se</w:t>
      </w:r>
      <w:r w:rsidRPr="003B3BAF">
        <w:rPr>
          <w:rFonts w:ascii="Garamond" w:hAnsi="Garamond" w:cs="Courier New"/>
          <w:kern w:val="18"/>
          <w:lang w:eastAsia="pt-BR"/>
        </w:rPr>
        <w:t xml:space="preserve"> que</w:t>
      </w:r>
      <w:r w:rsidR="00D04E4C" w:rsidRPr="003B3BAF">
        <w:rPr>
          <w:rFonts w:ascii="Garamond" w:hAnsi="Garamond" w:cs="Courier New"/>
          <w:kern w:val="18"/>
          <w:lang w:eastAsia="pt-BR"/>
        </w:rPr>
        <w:t xml:space="preserve"> a mera instalação de vidros, </w:t>
      </w:r>
      <w:r w:rsidR="00D04E4C" w:rsidRPr="003B3BAF">
        <w:rPr>
          <w:rFonts w:ascii="Garamond" w:hAnsi="Garamond"/>
        </w:rPr>
        <w:t xml:space="preserve">não ocasionaria qualquer alteração da </w:t>
      </w:r>
      <w:r w:rsidRPr="003B3BAF">
        <w:rPr>
          <w:rFonts w:ascii="Garamond" w:hAnsi="Garamond"/>
        </w:rPr>
        <w:t>fachada</w:t>
      </w:r>
      <w:r w:rsidR="00D04E4C" w:rsidRPr="003B3BAF">
        <w:rPr>
          <w:rFonts w:ascii="Garamond" w:hAnsi="Garamond"/>
        </w:rPr>
        <w:t>, bem</w:t>
      </w:r>
      <w:r w:rsidRPr="003B3BAF">
        <w:rPr>
          <w:rFonts w:ascii="Garamond" w:hAnsi="Garamond"/>
        </w:rPr>
        <w:t xml:space="preserve"> como </w:t>
      </w:r>
      <w:r w:rsidR="00D04E4C" w:rsidRPr="003B3BAF">
        <w:rPr>
          <w:rFonts w:ascii="Garamond" w:hAnsi="Garamond"/>
        </w:rPr>
        <w:t xml:space="preserve">da </w:t>
      </w:r>
      <w:r w:rsidRPr="003B3BAF">
        <w:rPr>
          <w:rFonts w:ascii="Garamond" w:hAnsi="Garamond"/>
        </w:rPr>
        <w:t>identidade visual do condomínio, verificamos que o</w:t>
      </w:r>
      <w:r w:rsidR="00D04E4C" w:rsidRPr="003B3BAF">
        <w:rPr>
          <w:rFonts w:ascii="Garamond" w:hAnsi="Garamond"/>
        </w:rPr>
        <w:t xml:space="preserve"> </w:t>
      </w:r>
      <w:r w:rsidRPr="003B3BAF">
        <w:rPr>
          <w:rFonts w:ascii="Garamond" w:hAnsi="Garamond"/>
        </w:rPr>
        <w:t>uso de vidro inteiriço, já compõem o visual do mesmo, como trazemos abaixo</w:t>
      </w:r>
      <w:r w:rsidR="00A33376">
        <w:rPr>
          <w:rFonts w:ascii="Garamond" w:hAnsi="Garamond"/>
        </w:rPr>
        <w:t xml:space="preserve">, imagens </w:t>
      </w:r>
      <w:r w:rsidR="00387E2F">
        <w:rPr>
          <w:rFonts w:ascii="Garamond" w:hAnsi="Garamond"/>
        </w:rPr>
        <w:t>atuais do local, bem como imagens com o projeto a ser realizado.</w:t>
      </w:r>
    </w:p>
    <w:p w14:paraId="3B6158FB" w14:textId="41570B3A" w:rsidR="00BF35E4" w:rsidRPr="003B3BAF" w:rsidRDefault="00BF35E4" w:rsidP="00D04E4C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0DF6F247" wp14:editId="58544C4D">
            <wp:extent cx="7680325" cy="5760085"/>
            <wp:effectExtent l="7620" t="0" r="4445" b="4445"/>
            <wp:docPr id="1" name="Imagem 1" descr="Uma imagem contendo edifíc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01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32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/>
          <w:noProof/>
        </w:rPr>
        <w:lastRenderedPageBreak/>
        <w:drawing>
          <wp:inline distT="0" distB="0" distL="0" distR="0" wp14:anchorId="435688A3" wp14:editId="4DE5D6A2">
            <wp:extent cx="7680325" cy="5760085"/>
            <wp:effectExtent l="7620" t="0" r="4445" b="4445"/>
            <wp:docPr id="6" name="Imagem 6" descr="Uma imagem contendo edifício, cerca, parede, ao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0130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32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2EF4" w14:textId="620D6A4E" w:rsidR="00142288" w:rsidRPr="003B3BAF" w:rsidRDefault="00B01EB4" w:rsidP="00D04E4C">
      <w:pPr>
        <w:pStyle w:val="NormalWeb"/>
        <w:shd w:val="clear" w:color="auto" w:fill="FFFFFF"/>
        <w:spacing w:before="0" w:after="160" w:line="360" w:lineRule="auto"/>
        <w:jc w:val="both"/>
        <w:rPr>
          <w:rFonts w:ascii="Garamond" w:hAnsi="Garamond" w:cs="Courier New"/>
          <w:kern w:val="18"/>
          <w:lang w:eastAsia="pt-BR"/>
        </w:rPr>
      </w:pPr>
      <w:r>
        <w:rPr>
          <w:rFonts w:ascii="Garamond" w:hAnsi="Garamond" w:cs="Courier New"/>
          <w:noProof/>
          <w:kern w:val="18"/>
          <w:lang w:eastAsia="pt-BR"/>
        </w:rPr>
        <w:lastRenderedPageBreak/>
        <w:drawing>
          <wp:inline distT="0" distB="0" distL="0" distR="0" wp14:anchorId="37B413F8" wp14:editId="161BD8B5">
            <wp:extent cx="5760085" cy="4319905"/>
            <wp:effectExtent l="0" t="0" r="5715" b="0"/>
            <wp:docPr id="4" name="Imagem 4" descr="Uma imagem contendo edifício, verde, ao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-1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BFB2" w14:textId="6F9F2914" w:rsidR="00B01EB4" w:rsidRDefault="00B01EB4" w:rsidP="000B6E0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47F7E597" wp14:editId="3605A018">
            <wp:extent cx="5760085" cy="4319905"/>
            <wp:effectExtent l="0" t="0" r="5715" b="0"/>
            <wp:docPr id="5" name="Imagem 5" descr="Uma imagem contendo edifício, ao ar livre, carro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e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FFFB" w14:textId="48F776FF" w:rsidR="00142288" w:rsidRPr="000B6E0B" w:rsidRDefault="00142288" w:rsidP="000B6E0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/>
        </w:rPr>
      </w:pPr>
      <w:r w:rsidRPr="003B3BAF">
        <w:rPr>
          <w:rFonts w:ascii="Garamond" w:hAnsi="Garamond"/>
        </w:rPr>
        <w:t>De tal modo, a aplicação da cortina de vidro em sede do mezanino das salas térreas 03 e 04, traz harmonia para com o conjunto estrutural e aspecto visual do prédio</w:t>
      </w:r>
      <w:r w:rsidR="00D04E4C" w:rsidRPr="003B3BAF">
        <w:rPr>
          <w:rFonts w:ascii="Garamond" w:hAnsi="Garamond"/>
        </w:rPr>
        <w:t>, inclusive</w:t>
      </w:r>
      <w:r w:rsidR="008F35D8">
        <w:rPr>
          <w:rFonts w:ascii="Garamond" w:hAnsi="Garamond"/>
        </w:rPr>
        <w:t xml:space="preserve"> melhorando</w:t>
      </w:r>
      <w:r w:rsidR="00D04E4C" w:rsidRPr="003B3BAF">
        <w:rPr>
          <w:rFonts w:ascii="Garamond" w:hAnsi="Garamond"/>
        </w:rPr>
        <w:t xml:space="preserve"> a imagem vazada verificada pela abertura do espaço.</w:t>
      </w:r>
    </w:p>
    <w:p w14:paraId="443159D2" w14:textId="302CCCCA" w:rsidR="0061204B" w:rsidRPr="000B6E0B" w:rsidRDefault="00D04E4C" w:rsidP="000B6E0B">
      <w:pPr>
        <w:pStyle w:val="NormalWeb"/>
        <w:shd w:val="clear" w:color="auto" w:fill="FFFFFF"/>
        <w:spacing w:before="0" w:after="160" w:line="360" w:lineRule="auto"/>
        <w:ind w:firstLine="360"/>
        <w:jc w:val="both"/>
        <w:rPr>
          <w:rFonts w:ascii="Garamond" w:hAnsi="Garamond"/>
          <w:color w:val="000000" w:themeColor="text1"/>
        </w:rPr>
      </w:pPr>
      <w:r w:rsidRPr="003B3BAF">
        <w:rPr>
          <w:rFonts w:ascii="Garamond" w:hAnsi="Garamond"/>
          <w:color w:val="000000" w:themeColor="text1"/>
        </w:rPr>
        <w:t>Neste sentido, existindo projeto realizado por engenheiro civil competente a fim de que se ateste que a instalação da cortina de vidro, ou vidro inteiriço na “sacada” do mezanino das referidas salas, não acarrete qualquer dano estrutural, bem como observe a identidade visual e mesma tonalidade, qualidade e características do restante do prédio, não há que se falar em proibição pelo Condomínio.</w:t>
      </w:r>
    </w:p>
    <w:p w14:paraId="6EBFEF2D" w14:textId="38945AC0" w:rsidR="0061204B" w:rsidRPr="003B3BAF" w:rsidRDefault="0061204B" w:rsidP="00D04E4C">
      <w:pPr>
        <w:shd w:val="clear" w:color="auto" w:fill="FFFFFF"/>
        <w:spacing w:after="240" w:line="360" w:lineRule="auto"/>
        <w:ind w:firstLine="708"/>
        <w:rPr>
          <w:rFonts w:ascii="Garamond" w:hAnsi="Garamond"/>
          <w:color w:val="000000" w:themeColor="text1"/>
          <w:sz w:val="24"/>
          <w:szCs w:val="24"/>
        </w:rPr>
      </w:pPr>
      <w:r w:rsidRPr="003B3BAF">
        <w:rPr>
          <w:rFonts w:ascii="Garamond" w:hAnsi="Garamond"/>
          <w:color w:val="000000" w:themeColor="text1"/>
          <w:sz w:val="24"/>
          <w:szCs w:val="24"/>
        </w:rPr>
        <w:t>A locação de apartamentos em um edifício residencial ou casas em condomínio horizontal não transforma o imóvel em um “hotel”, ou em um “hotel-residência”, mesmo que todos os apartamentos/casas sejam alugados por meio eletrônico.</w:t>
      </w:r>
    </w:p>
    <w:p w14:paraId="54477B38" w14:textId="38C1FF96" w:rsidR="0061204B" w:rsidRPr="003B3BAF" w:rsidRDefault="003B3BAF" w:rsidP="0061204B">
      <w:pPr>
        <w:shd w:val="clear" w:color="auto" w:fill="FFFFFF"/>
        <w:spacing w:after="240" w:line="360" w:lineRule="auto"/>
        <w:ind w:firstLine="708"/>
        <w:rPr>
          <w:rFonts w:ascii="Garamond" w:hAnsi="Garamond"/>
          <w:color w:val="000000" w:themeColor="text1"/>
          <w:sz w:val="24"/>
          <w:szCs w:val="24"/>
        </w:rPr>
      </w:pPr>
      <w:r w:rsidRPr="003B3BAF">
        <w:rPr>
          <w:rFonts w:ascii="Garamond" w:hAnsi="Garamond"/>
          <w:color w:val="000000" w:themeColor="text1"/>
          <w:sz w:val="24"/>
          <w:szCs w:val="24"/>
        </w:rPr>
        <w:t xml:space="preserve">A respeito da matéria, a possibilidade da instalação encontra guarida no judiciário, tendo o Egrégio Tribunal de Justiça do Estado de Goiás, julgado na data de </w:t>
      </w:r>
      <w:r w:rsidRPr="003B3BAF">
        <w:rPr>
          <w:rFonts w:ascii="Garamond" w:hAnsi="Garamond"/>
          <w:b/>
          <w:color w:val="000000" w:themeColor="text1"/>
          <w:sz w:val="24"/>
          <w:szCs w:val="24"/>
          <w:u w:val="single"/>
        </w:rPr>
        <w:t xml:space="preserve">18/03/2019, </w:t>
      </w:r>
      <w:r w:rsidRPr="003B3BAF">
        <w:rPr>
          <w:rFonts w:ascii="Garamond" w:hAnsi="Garamond"/>
          <w:color w:val="000000" w:themeColor="text1"/>
          <w:sz w:val="24"/>
          <w:szCs w:val="24"/>
        </w:rPr>
        <w:t>da seguinte forma:</w:t>
      </w:r>
    </w:p>
    <w:p w14:paraId="3F71EAD1" w14:textId="0923A5DF" w:rsidR="003B3BAF" w:rsidRPr="003B3BAF" w:rsidRDefault="003B3BAF" w:rsidP="003B3BAF">
      <w:pPr>
        <w:shd w:val="clear" w:color="auto" w:fill="FFFFFF"/>
        <w:spacing w:after="240" w:line="360" w:lineRule="auto"/>
        <w:ind w:left="2832"/>
        <w:rPr>
          <w:rFonts w:ascii="Garamond" w:hAnsi="Garamond"/>
          <w:color w:val="000000" w:themeColor="text1"/>
          <w:sz w:val="24"/>
          <w:szCs w:val="24"/>
        </w:rPr>
      </w:pPr>
      <w:r w:rsidRPr="003B3BAF">
        <w:rPr>
          <w:rFonts w:ascii="Garamond" w:hAnsi="Garamond"/>
          <w:b/>
          <w:color w:val="000000" w:themeColor="text1"/>
          <w:sz w:val="24"/>
          <w:szCs w:val="24"/>
        </w:rPr>
        <w:lastRenderedPageBreak/>
        <w:t>APELAÇÃO CÍVEL. AÇÃO DE OBRIGAÇÃO DE FAZER. COLOCAÇÃO DE CORTINA DE VIDRO. AUSÊNCIA, ATÉ ENTÃO, DE PADRÃO A SER SEGUIDO. ALTERAÇÃO SUBSTANCIAL DA EDIFICAÇÃO PREDIAL NÃO VERIFICAD</w:t>
      </w:r>
      <w:r w:rsidRPr="003B3BAF">
        <w:rPr>
          <w:rFonts w:ascii="Garamond" w:hAnsi="Garamond"/>
          <w:color w:val="000000" w:themeColor="text1"/>
          <w:sz w:val="24"/>
          <w:szCs w:val="24"/>
        </w:rPr>
        <w:t xml:space="preserve">A. Nos termos do artigo 10, I, da Lei 4.591/64, não se admite alteração da fachada de condomínio sem a anuência dos demais moradores, devido a um possível comprometimento estético do edifício, com possibilidade de desvalorização deste. Neste caso específico, no entanto, a cor da cortina de vidro das sacadas dos apartamentos ainda não havia sido definida, estando a depender de projeto arquitetônico. Some-se a isso o fato de que nenhuma das sacadas do edifício fora fechada anteriormente, de forma que o fechamento da sacada do apartamento do apelado com a colocação de vidro fumê, de forma discreta e sem alterar a harmonia do conjunto, não implicou em infração às normas internas do Condomínio, que ainda dependiam de regulamentação. Apelação cível desprovida.(TJGO, Apelação (CPC) 5099205-39.2017.8.09.0051, Rel. ZACARIAS NEVES COELHO, 2ª Câmara Cível, julgado em 18/03/2019, </w:t>
      </w:r>
      <w:proofErr w:type="spellStart"/>
      <w:r w:rsidRPr="003B3BAF">
        <w:rPr>
          <w:rFonts w:ascii="Garamond" w:hAnsi="Garamond"/>
          <w:color w:val="000000" w:themeColor="text1"/>
          <w:sz w:val="24"/>
          <w:szCs w:val="24"/>
        </w:rPr>
        <w:t>DJe</w:t>
      </w:r>
      <w:proofErr w:type="spellEnd"/>
      <w:r w:rsidRPr="003B3BAF">
        <w:rPr>
          <w:rFonts w:ascii="Garamond" w:hAnsi="Garamond"/>
          <w:color w:val="000000" w:themeColor="text1"/>
          <w:sz w:val="24"/>
          <w:szCs w:val="24"/>
        </w:rPr>
        <w:t xml:space="preserve">  de 18/03/2019)</w:t>
      </w:r>
    </w:p>
    <w:p w14:paraId="379F0260" w14:textId="77777777" w:rsidR="003B3BAF" w:rsidRPr="003B3BAF" w:rsidRDefault="003B3BAF" w:rsidP="003B3BAF">
      <w:pPr>
        <w:shd w:val="clear" w:color="auto" w:fill="FFFFFF"/>
        <w:spacing w:after="240" w:line="360" w:lineRule="auto"/>
        <w:ind w:left="2832"/>
        <w:rPr>
          <w:rFonts w:ascii="Garamond" w:hAnsi="Garamond"/>
          <w:color w:val="000000" w:themeColor="text1"/>
          <w:sz w:val="24"/>
          <w:szCs w:val="24"/>
        </w:rPr>
      </w:pPr>
    </w:p>
    <w:p w14:paraId="554F0682" w14:textId="17687921" w:rsidR="0061204B" w:rsidRPr="003B3BAF" w:rsidRDefault="003B3BAF" w:rsidP="0061204B">
      <w:pPr>
        <w:shd w:val="clear" w:color="auto" w:fill="FFFFFF"/>
        <w:spacing w:after="240" w:line="360" w:lineRule="auto"/>
        <w:ind w:firstLine="708"/>
        <w:rPr>
          <w:rFonts w:ascii="Garamond" w:hAnsi="Garamond"/>
          <w:color w:val="000000" w:themeColor="text1"/>
          <w:sz w:val="24"/>
          <w:szCs w:val="24"/>
        </w:rPr>
      </w:pPr>
      <w:r w:rsidRPr="003B3BAF">
        <w:rPr>
          <w:rFonts w:ascii="Garamond" w:hAnsi="Garamond"/>
          <w:color w:val="000000" w:themeColor="text1"/>
          <w:sz w:val="24"/>
          <w:szCs w:val="24"/>
        </w:rPr>
        <w:t>Ainda neste sentido os Tribunais Regionais Brasileiros, vem se posicionando no mesmo sentido:</w:t>
      </w:r>
    </w:p>
    <w:p w14:paraId="53B98A08" w14:textId="0330B60A" w:rsidR="0061204B" w:rsidRPr="000B6E0B" w:rsidRDefault="003B3BAF" w:rsidP="000B6E0B">
      <w:pPr>
        <w:suppressAutoHyphens w:val="0"/>
        <w:overflowPunct/>
        <w:autoSpaceDE/>
        <w:autoSpaceDN/>
        <w:adjustRightInd/>
        <w:spacing w:before="100" w:beforeAutospacing="1" w:after="100" w:afterAutospacing="1" w:line="240" w:lineRule="auto"/>
        <w:ind w:left="2832"/>
        <w:textAlignment w:val="auto"/>
        <w:rPr>
          <w:rFonts w:ascii="Garamond" w:hAnsi="Garamond"/>
          <w:kern w:val="0"/>
          <w:sz w:val="24"/>
          <w:szCs w:val="24"/>
        </w:rPr>
      </w:pPr>
      <w:r w:rsidRPr="003B3BAF">
        <w:rPr>
          <w:rFonts w:ascii="Garamond" w:hAnsi="Garamond"/>
          <w:kern w:val="0"/>
          <w:sz w:val="24"/>
          <w:szCs w:val="24"/>
        </w:rPr>
        <w:t xml:space="preserve">“CONDOMÍNIO EDILÍCIO - Fechamento de sacada -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Alegac</w:t>
      </w:r>
      <w:r w:rsidRPr="003B3BAF">
        <w:rPr>
          <w:rFonts w:ascii="Times New Roman" w:hAnsi="Times New Roman"/>
          <w:kern w:val="0"/>
          <w:sz w:val="24"/>
          <w:szCs w:val="24"/>
        </w:rPr>
        <w:t>̧</w:t>
      </w:r>
      <w:r w:rsidRPr="003B3BAF">
        <w:rPr>
          <w:rFonts w:ascii="Garamond" w:hAnsi="Garamond"/>
          <w:kern w:val="0"/>
          <w:sz w:val="24"/>
          <w:szCs w:val="24"/>
        </w:rPr>
        <w:t>ão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de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violac</w:t>
      </w:r>
      <w:r w:rsidRPr="003B3BAF">
        <w:rPr>
          <w:rFonts w:ascii="Times New Roman" w:hAnsi="Times New Roman"/>
          <w:kern w:val="0"/>
          <w:sz w:val="24"/>
          <w:szCs w:val="24"/>
        </w:rPr>
        <w:t>̧</w:t>
      </w:r>
      <w:r w:rsidRPr="003B3BAF">
        <w:rPr>
          <w:rFonts w:ascii="Garamond" w:hAnsi="Garamond"/>
          <w:kern w:val="0"/>
          <w:sz w:val="24"/>
          <w:szCs w:val="24"/>
        </w:rPr>
        <w:t>ão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das normas legais e condominiais -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Improcede</w:t>
      </w:r>
      <w:r w:rsidRPr="003B3BAF">
        <w:rPr>
          <w:rFonts w:ascii="Times New Roman" w:hAnsi="Times New Roman"/>
          <w:kern w:val="0"/>
          <w:sz w:val="24"/>
          <w:szCs w:val="24"/>
        </w:rPr>
        <w:t>̂</w:t>
      </w:r>
      <w:r w:rsidRPr="003B3BAF">
        <w:rPr>
          <w:rFonts w:ascii="Garamond" w:hAnsi="Garamond"/>
          <w:kern w:val="0"/>
          <w:sz w:val="24"/>
          <w:szCs w:val="24"/>
        </w:rPr>
        <w:t>ncia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da demanda – Inconformismo – Inadmissibilidade -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Ause</w:t>
      </w:r>
      <w:r w:rsidRPr="003B3BAF">
        <w:rPr>
          <w:rFonts w:ascii="Times New Roman" w:hAnsi="Times New Roman"/>
          <w:kern w:val="0"/>
          <w:sz w:val="24"/>
          <w:szCs w:val="24"/>
        </w:rPr>
        <w:t>̂</w:t>
      </w:r>
      <w:r w:rsidRPr="003B3BAF">
        <w:rPr>
          <w:rFonts w:ascii="Garamond" w:hAnsi="Garamond"/>
          <w:kern w:val="0"/>
          <w:sz w:val="24"/>
          <w:szCs w:val="24"/>
        </w:rPr>
        <w:t>ncia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de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prejuízo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à harmonia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estética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do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edifício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- Normas legais e condominiais cumpridas satisfatoriamente - Falta de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aprovac</w:t>
      </w:r>
      <w:r w:rsidRPr="003B3BAF">
        <w:rPr>
          <w:rFonts w:ascii="Times New Roman" w:hAnsi="Times New Roman"/>
          <w:kern w:val="0"/>
          <w:sz w:val="24"/>
          <w:szCs w:val="24"/>
        </w:rPr>
        <w:t>̧</w:t>
      </w:r>
      <w:r w:rsidRPr="003B3BAF">
        <w:rPr>
          <w:rFonts w:ascii="Garamond" w:hAnsi="Garamond"/>
          <w:kern w:val="0"/>
          <w:sz w:val="24"/>
          <w:szCs w:val="24"/>
        </w:rPr>
        <w:t>ão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prévia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pela assembleia, por si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so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́,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não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torna ilegal o fechamento das sacadas -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Sentenc</w:t>
      </w:r>
      <w:r w:rsidRPr="003B3BAF">
        <w:rPr>
          <w:rFonts w:ascii="Times New Roman" w:hAnsi="Times New Roman"/>
          <w:kern w:val="0"/>
          <w:sz w:val="24"/>
          <w:szCs w:val="24"/>
        </w:rPr>
        <w:t>̧</w:t>
      </w:r>
      <w:r w:rsidRPr="003B3BAF">
        <w:rPr>
          <w:rFonts w:ascii="Garamond" w:hAnsi="Garamond"/>
          <w:kern w:val="0"/>
          <w:sz w:val="24"/>
          <w:szCs w:val="24"/>
        </w:rPr>
        <w:t>a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mantida - Recurso desprovido. (TJSP- AP:9193741-13, Relator J.L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Mo</w:t>
      </w:r>
      <w:r w:rsidRPr="003B3BAF">
        <w:rPr>
          <w:rFonts w:ascii="Times New Roman" w:hAnsi="Times New Roman"/>
          <w:kern w:val="0"/>
          <w:sz w:val="24"/>
          <w:szCs w:val="24"/>
        </w:rPr>
        <w:t>̂</w:t>
      </w:r>
      <w:r w:rsidRPr="003B3BAF">
        <w:rPr>
          <w:rFonts w:ascii="Garamond" w:hAnsi="Garamond"/>
          <w:kern w:val="0"/>
          <w:sz w:val="24"/>
          <w:szCs w:val="24"/>
        </w:rPr>
        <w:t>naco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da Silva, 5a </w:t>
      </w:r>
      <w:proofErr w:type="spellStart"/>
      <w:r w:rsidRPr="003B3BAF">
        <w:rPr>
          <w:rFonts w:ascii="Garamond" w:hAnsi="Garamond"/>
          <w:kern w:val="0"/>
          <w:sz w:val="24"/>
          <w:szCs w:val="24"/>
        </w:rPr>
        <w:t>Ca</w:t>
      </w:r>
      <w:r w:rsidRPr="003B3BAF">
        <w:rPr>
          <w:rFonts w:ascii="Times New Roman" w:hAnsi="Times New Roman"/>
          <w:kern w:val="0"/>
          <w:sz w:val="24"/>
          <w:szCs w:val="24"/>
        </w:rPr>
        <w:t>̂</w:t>
      </w:r>
      <w:r w:rsidRPr="003B3BAF">
        <w:rPr>
          <w:rFonts w:ascii="Garamond" w:hAnsi="Garamond"/>
          <w:kern w:val="0"/>
          <w:sz w:val="24"/>
          <w:szCs w:val="24"/>
        </w:rPr>
        <w:t>mara</w:t>
      </w:r>
      <w:proofErr w:type="spellEnd"/>
      <w:r w:rsidRPr="003B3BAF">
        <w:rPr>
          <w:rFonts w:ascii="Garamond" w:hAnsi="Garamond"/>
          <w:kern w:val="0"/>
          <w:sz w:val="24"/>
          <w:szCs w:val="24"/>
        </w:rPr>
        <w:t xml:space="preserve"> de Direito Privado, Data da Publicac</w:t>
      </w:r>
      <w:r w:rsidRPr="003B3BAF">
        <w:rPr>
          <w:rFonts w:ascii="Times New Roman" w:hAnsi="Times New Roman"/>
          <w:kern w:val="0"/>
          <w:sz w:val="24"/>
          <w:szCs w:val="24"/>
        </w:rPr>
        <w:t>̧</w:t>
      </w:r>
      <w:r w:rsidRPr="003B3BAF">
        <w:rPr>
          <w:rFonts w:ascii="Garamond" w:hAnsi="Garamond"/>
          <w:kern w:val="0"/>
          <w:sz w:val="24"/>
          <w:szCs w:val="24"/>
        </w:rPr>
        <w:t>ão:01/12/2011)</w:t>
      </w:r>
      <w:r w:rsidR="000B6E0B">
        <w:rPr>
          <w:rFonts w:ascii="Garamond" w:hAnsi="Garamond"/>
          <w:kern w:val="0"/>
          <w:sz w:val="24"/>
          <w:szCs w:val="24"/>
        </w:rPr>
        <w:t>.</w:t>
      </w:r>
    </w:p>
    <w:p w14:paraId="511350C1" w14:textId="7EC45C1F" w:rsidR="000B6E0B" w:rsidRPr="000B6E0B" w:rsidRDefault="000B6E0B" w:rsidP="000B6E0B">
      <w:pPr>
        <w:pStyle w:val="NormalWeb"/>
        <w:spacing w:before="330" w:after="0" w:line="360" w:lineRule="auto"/>
        <w:jc w:val="both"/>
        <w:rPr>
          <w:rFonts w:ascii="Garamond" w:hAnsi="Garamond"/>
          <w:spacing w:val="2"/>
        </w:rPr>
      </w:pPr>
      <w:r>
        <w:rPr>
          <w:rFonts w:ascii="Garamond" w:hAnsi="Garamond"/>
          <w:color w:val="000000" w:themeColor="text1"/>
        </w:rPr>
        <w:lastRenderedPageBreak/>
        <w:t xml:space="preserve">  </w:t>
      </w:r>
      <w:r>
        <w:rPr>
          <w:rFonts w:ascii="Garamond" w:hAnsi="Garamond"/>
          <w:color w:val="000000" w:themeColor="text1"/>
        </w:rPr>
        <w:tab/>
      </w:r>
      <w:r w:rsidR="0061204B" w:rsidRPr="003B3BAF">
        <w:rPr>
          <w:rFonts w:ascii="Garamond" w:hAnsi="Garamond"/>
          <w:color w:val="000000" w:themeColor="text1"/>
        </w:rPr>
        <w:t>Este entendimento se coaduna com a legislação brasileira</w:t>
      </w:r>
      <w:r w:rsidRPr="000B6E0B">
        <w:rPr>
          <w:rFonts w:ascii="Garamond" w:hAnsi="Garamond"/>
          <w:spacing w:val="2"/>
        </w:rPr>
        <w:t>, convém ressaltar que tais disposições visam à regulamentação da Lei nº</w:t>
      </w:r>
      <w:r w:rsidRPr="000B6E0B">
        <w:rPr>
          <w:rStyle w:val="apple-converted-space"/>
          <w:rFonts w:ascii="Garamond" w:hAnsi="Garamond"/>
          <w:spacing w:val="2"/>
        </w:rPr>
        <w:t> </w:t>
      </w:r>
      <w:hyperlink r:id="rId12" w:tooltip="Lei nº 4.591, de 16 de dezembro de 1964." w:history="1">
        <w:r w:rsidRPr="000B6E0B">
          <w:rPr>
            <w:rStyle w:val="Hyperlink"/>
            <w:rFonts w:ascii="Garamond" w:hAnsi="Garamond"/>
            <w:color w:val="0275D8"/>
            <w:spacing w:val="2"/>
          </w:rPr>
          <w:t>4.591</w:t>
        </w:r>
      </w:hyperlink>
      <w:r w:rsidRPr="000B6E0B">
        <w:rPr>
          <w:rFonts w:ascii="Garamond" w:hAnsi="Garamond"/>
          <w:spacing w:val="2"/>
        </w:rPr>
        <w:t>/64, que dispõe sobre o condomínio em edificações e incorporações imobiliárias, sobretudo seu art.</w:t>
      </w:r>
      <w:r w:rsidRPr="000B6E0B">
        <w:rPr>
          <w:rStyle w:val="apple-converted-space"/>
          <w:rFonts w:ascii="Garamond" w:hAnsi="Garamond"/>
          <w:spacing w:val="2"/>
        </w:rPr>
        <w:t> </w:t>
      </w:r>
      <w:hyperlink r:id="rId13" w:tooltip="Artigo 10 da Lei nº 4.591 de 16 de Dezembro de 1964" w:history="1">
        <w:r w:rsidRPr="000B6E0B">
          <w:rPr>
            <w:rStyle w:val="Hyperlink"/>
            <w:rFonts w:ascii="Garamond" w:hAnsi="Garamond"/>
            <w:color w:val="0275D8"/>
            <w:spacing w:val="2"/>
          </w:rPr>
          <w:t>10</w:t>
        </w:r>
      </w:hyperlink>
      <w:r w:rsidRPr="000B6E0B">
        <w:rPr>
          <w:rFonts w:ascii="Garamond" w:hAnsi="Garamond"/>
          <w:spacing w:val="2"/>
        </w:rPr>
        <w:t>, que veda a alteração das fachadas e a destinação da unidade autônoma para fins diversos da finalidade do prédio ou prejudicial ao sossego.</w:t>
      </w:r>
    </w:p>
    <w:p w14:paraId="47D8860F" w14:textId="498AF43A" w:rsidR="000B6E0B" w:rsidRPr="000B6E0B" w:rsidRDefault="000B6E0B" w:rsidP="000B6E0B">
      <w:pPr>
        <w:pStyle w:val="NormalWeb"/>
        <w:spacing w:before="90" w:after="0" w:line="360" w:lineRule="auto"/>
        <w:ind w:firstLine="708"/>
        <w:jc w:val="both"/>
        <w:rPr>
          <w:rFonts w:ascii="Garamond" w:hAnsi="Garamond"/>
          <w:spacing w:val="2"/>
        </w:rPr>
      </w:pPr>
      <w:r w:rsidRPr="000B6E0B">
        <w:rPr>
          <w:rFonts w:ascii="Garamond" w:hAnsi="Garamond"/>
          <w:spacing w:val="2"/>
        </w:rPr>
        <w:t>Nesse diapasão, constata-se que a mens lege intentou a preservação do condomínio, a manutenção da fachada do edifício e a preservação do sossego da comunidade condominial.</w:t>
      </w:r>
    </w:p>
    <w:p w14:paraId="10FE78DA" w14:textId="6FAFE256" w:rsidR="000B6E0B" w:rsidRPr="000B6E0B" w:rsidRDefault="000B6E0B" w:rsidP="000B6E0B">
      <w:pPr>
        <w:pStyle w:val="NormalWeb"/>
        <w:spacing w:before="90" w:after="0" w:line="360" w:lineRule="auto"/>
        <w:ind w:firstLine="708"/>
        <w:jc w:val="both"/>
        <w:rPr>
          <w:rFonts w:ascii="Garamond" w:hAnsi="Garamond"/>
          <w:spacing w:val="2"/>
        </w:rPr>
      </w:pPr>
      <w:r w:rsidRPr="000B6E0B">
        <w:rPr>
          <w:rFonts w:ascii="Garamond" w:hAnsi="Garamond"/>
          <w:spacing w:val="2"/>
        </w:rPr>
        <w:t>Assim, a instalação das ‘cortinas de vidro’ não importa em alteração de fachada do edifício, haja vista que não corresponde a fechamento ou envidraçamento definitivos de varanda de chão a teto.</w:t>
      </w:r>
      <w:r>
        <w:rPr>
          <w:rFonts w:ascii="Garamond" w:hAnsi="Garamond"/>
          <w:spacing w:val="2"/>
        </w:rPr>
        <w:t xml:space="preserve"> </w:t>
      </w:r>
      <w:r w:rsidRPr="000B6E0B">
        <w:rPr>
          <w:rFonts w:ascii="Garamond" w:hAnsi="Garamond"/>
          <w:spacing w:val="2"/>
        </w:rPr>
        <w:t>Trata-se, em verdade, de proteção temporária, transparente e retrátil que além de não provocar aumento na área do imóvel</w:t>
      </w:r>
      <w:r>
        <w:rPr>
          <w:rFonts w:ascii="Garamond" w:hAnsi="Garamond"/>
          <w:spacing w:val="2"/>
        </w:rPr>
        <w:t xml:space="preserve"> e </w:t>
      </w:r>
      <w:r w:rsidRPr="000B6E0B">
        <w:rPr>
          <w:rFonts w:ascii="Garamond" w:hAnsi="Garamond"/>
          <w:spacing w:val="2"/>
        </w:rPr>
        <w:t>possibilita apenas a redução dos ruídos, da entrada de poeira e detritos trazidos pelo ar, e a proteção do vento e demais intempéries.</w:t>
      </w:r>
    </w:p>
    <w:p w14:paraId="1BD12D1A" w14:textId="4A92756E" w:rsidR="000B6E0B" w:rsidRPr="000B6E0B" w:rsidRDefault="000B6E0B" w:rsidP="000B6E0B">
      <w:pPr>
        <w:pStyle w:val="NormalWeb"/>
        <w:spacing w:before="90" w:after="0" w:line="360" w:lineRule="auto"/>
        <w:ind w:firstLine="708"/>
        <w:jc w:val="both"/>
        <w:rPr>
          <w:rFonts w:ascii="Garamond" w:hAnsi="Garamond"/>
          <w:color w:val="000000" w:themeColor="text1"/>
        </w:rPr>
      </w:pPr>
      <w:r w:rsidRPr="000B6E0B">
        <w:rPr>
          <w:rFonts w:ascii="Garamond" w:hAnsi="Garamond"/>
          <w:spacing w:val="2"/>
        </w:rPr>
        <w:t>Outrossim, não se olvide que a instalação dos vidros prescinde de licença do Poder Público, já que não corresponde a uma obra propriamente dita e tampouco provocam aumento na ATE (Área Total Edificada)</w:t>
      </w:r>
      <w:r>
        <w:rPr>
          <w:rFonts w:ascii="Garamond" w:hAnsi="Garamond"/>
          <w:spacing w:val="2"/>
        </w:rPr>
        <w:t>.</w:t>
      </w:r>
      <w:r w:rsidR="0061204B" w:rsidRPr="003B3BAF">
        <w:rPr>
          <w:rFonts w:ascii="Garamond" w:hAnsi="Garamond"/>
          <w:color w:val="000000" w:themeColor="text1"/>
        </w:rPr>
        <w:t>Importante frisar o disposto no artigo 1.335, inciso I, que por sua vez, fixa como DIREITO do condômino, “usar, fruir e livremente dispor das suas unidades”.</w:t>
      </w:r>
    </w:p>
    <w:p w14:paraId="64FE109F" w14:textId="26FCC807" w:rsidR="000B6E0B" w:rsidRDefault="0061204B" w:rsidP="000B6E0B">
      <w:pPr>
        <w:spacing w:line="360" w:lineRule="auto"/>
        <w:ind w:firstLine="708"/>
        <w:rPr>
          <w:rFonts w:ascii="Garamond" w:hAnsi="Garamond"/>
          <w:color w:val="000000" w:themeColor="text1"/>
          <w:sz w:val="24"/>
          <w:szCs w:val="24"/>
        </w:rPr>
      </w:pPr>
      <w:r w:rsidRPr="003B3BAF">
        <w:rPr>
          <w:rFonts w:ascii="Garamond" w:hAnsi="Garamond"/>
          <w:color w:val="000000" w:themeColor="text1"/>
          <w:sz w:val="24"/>
          <w:szCs w:val="24"/>
        </w:rPr>
        <w:t>Desta monta, qualquer proibição contrária ao que dispõe ao artigo 1.335 do Código Civil, se faz arbitraria e sem previsão l</w:t>
      </w:r>
      <w:r w:rsidR="000B6E0B">
        <w:rPr>
          <w:rFonts w:ascii="Garamond" w:hAnsi="Garamond"/>
          <w:color w:val="000000" w:themeColor="text1"/>
          <w:sz w:val="24"/>
          <w:szCs w:val="24"/>
        </w:rPr>
        <w:t>egal.</w:t>
      </w:r>
    </w:p>
    <w:p w14:paraId="3777C2B8" w14:textId="4AD1CBE3" w:rsidR="000B6E0B" w:rsidRDefault="000B6E0B" w:rsidP="0061204B">
      <w:pPr>
        <w:spacing w:line="360" w:lineRule="auto"/>
        <w:ind w:firstLine="708"/>
        <w:rPr>
          <w:rFonts w:ascii="Garamond" w:hAnsi="Garamond"/>
          <w:color w:val="000000" w:themeColor="text1"/>
          <w:sz w:val="24"/>
          <w:szCs w:val="24"/>
        </w:rPr>
      </w:pPr>
      <w:r>
        <w:rPr>
          <w:rFonts w:ascii="Garamond" w:hAnsi="Garamond"/>
          <w:color w:val="000000" w:themeColor="text1"/>
          <w:sz w:val="24"/>
          <w:szCs w:val="24"/>
        </w:rPr>
        <w:t xml:space="preserve">Neste sentido fora julgado o Agravo em Recurso Extraordinário nº 753350, pelo ministro Dias </w:t>
      </w:r>
      <w:proofErr w:type="spellStart"/>
      <w:r>
        <w:rPr>
          <w:rFonts w:ascii="Garamond" w:hAnsi="Garamond"/>
          <w:color w:val="000000" w:themeColor="text1"/>
          <w:sz w:val="24"/>
          <w:szCs w:val="24"/>
        </w:rPr>
        <w:t>Toffoli</w:t>
      </w:r>
      <w:proofErr w:type="spellEnd"/>
      <w:r>
        <w:rPr>
          <w:rFonts w:ascii="Garamond" w:hAnsi="Garamond"/>
          <w:color w:val="000000" w:themeColor="text1"/>
          <w:sz w:val="24"/>
          <w:szCs w:val="24"/>
        </w:rPr>
        <w:t xml:space="preserve"> do Supremo Tribunal Federal:</w:t>
      </w:r>
    </w:p>
    <w:p w14:paraId="30BB92D5" w14:textId="77777777" w:rsidR="000B6E0B" w:rsidRDefault="000B6E0B" w:rsidP="0061204B">
      <w:pPr>
        <w:spacing w:line="360" w:lineRule="auto"/>
        <w:ind w:firstLine="708"/>
        <w:rPr>
          <w:rFonts w:ascii="Garamond" w:hAnsi="Garamond"/>
          <w:color w:val="000000" w:themeColor="text1"/>
          <w:sz w:val="24"/>
          <w:szCs w:val="24"/>
        </w:rPr>
      </w:pPr>
    </w:p>
    <w:p w14:paraId="099263E6" w14:textId="4E0EFDD6" w:rsidR="0061204B" w:rsidRPr="000B6E0B" w:rsidRDefault="000B6E0B" w:rsidP="000B6E0B">
      <w:pPr>
        <w:spacing w:line="360" w:lineRule="auto"/>
        <w:ind w:firstLine="708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3568894" wp14:editId="1D83470D">
            <wp:extent cx="5071928" cy="336656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9-03-25 23.52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62" cy="33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F8C8" w14:textId="77777777" w:rsidR="0061204B" w:rsidRPr="003B3BAF" w:rsidRDefault="0061204B" w:rsidP="0061204B">
      <w:pPr>
        <w:pStyle w:val="NormalWeb"/>
        <w:shd w:val="clear" w:color="auto" w:fill="FFFFFF"/>
        <w:spacing w:before="0" w:after="160" w:line="360" w:lineRule="auto"/>
        <w:jc w:val="both"/>
        <w:rPr>
          <w:rStyle w:val="Forte"/>
          <w:rFonts w:ascii="Garamond" w:hAnsi="Garamond" w:cs="Arial"/>
          <w:color w:val="000000" w:themeColor="text1"/>
        </w:rPr>
      </w:pPr>
      <w:r w:rsidRPr="003B3BAF">
        <w:rPr>
          <w:rStyle w:val="Forte"/>
          <w:rFonts w:ascii="Garamond" w:hAnsi="Garamond" w:cs="Arial"/>
          <w:color w:val="000000" w:themeColor="text1"/>
        </w:rPr>
        <w:t>CONCLUSÃO</w:t>
      </w:r>
    </w:p>
    <w:p w14:paraId="4295DDFB" w14:textId="1EA291CB" w:rsidR="0061204B" w:rsidRPr="003B3BAF" w:rsidRDefault="00113ACE" w:rsidP="0061204B">
      <w:pPr>
        <w:pStyle w:val="NormalWeb"/>
        <w:shd w:val="clear" w:color="auto" w:fill="FFFFFF"/>
        <w:spacing w:before="0" w:after="160" w:line="360" w:lineRule="auto"/>
        <w:ind w:firstLine="708"/>
        <w:jc w:val="both"/>
        <w:rPr>
          <w:rFonts w:ascii="Garamond" w:hAnsi="Garamond" w:cs="Arial"/>
          <w:color w:val="000000" w:themeColor="text1"/>
        </w:rPr>
      </w:pPr>
      <w:r>
        <w:rPr>
          <w:rFonts w:ascii="Garamond" w:hAnsi="Garamond" w:cs="Arial"/>
          <w:color w:val="000000" w:themeColor="text1"/>
        </w:rPr>
        <w:t xml:space="preserve">Ante ao </w:t>
      </w:r>
      <w:r w:rsidR="0061204B" w:rsidRPr="003B3BAF">
        <w:rPr>
          <w:rFonts w:ascii="Garamond" w:hAnsi="Garamond" w:cs="Arial"/>
          <w:color w:val="000000" w:themeColor="text1"/>
        </w:rPr>
        <w:t xml:space="preserve">exposto, respondendo ao questionamento formulado na consulta, entendemos, que o requerente possui o direito de </w:t>
      </w:r>
      <w:r>
        <w:rPr>
          <w:rFonts w:ascii="Garamond" w:hAnsi="Garamond" w:cs="Arial"/>
          <w:color w:val="000000" w:themeColor="text1"/>
        </w:rPr>
        <w:t>instalação de cortina de vidro em</w:t>
      </w:r>
      <w:r w:rsidR="0061204B" w:rsidRPr="003B3BAF">
        <w:rPr>
          <w:rFonts w:ascii="Garamond" w:hAnsi="Garamond" w:cs="Arial"/>
          <w:color w:val="000000" w:themeColor="text1"/>
        </w:rPr>
        <w:t xml:space="preserve"> seu imóvel, </w:t>
      </w:r>
      <w:r>
        <w:rPr>
          <w:rFonts w:ascii="Garamond" w:hAnsi="Garamond" w:cs="Arial"/>
          <w:color w:val="000000" w:themeColor="text1"/>
        </w:rPr>
        <w:t>de forma</w:t>
      </w:r>
      <w:r w:rsidR="0061204B" w:rsidRPr="003B3BAF">
        <w:rPr>
          <w:rFonts w:ascii="Garamond" w:hAnsi="Garamond" w:cs="Arial"/>
          <w:color w:val="000000" w:themeColor="text1"/>
        </w:rPr>
        <w:t xml:space="preserve"> que a vedação de tal prática é uma ofensa ao seu direito de propriedade.</w:t>
      </w:r>
    </w:p>
    <w:p w14:paraId="0A71D169" w14:textId="4CA03318" w:rsidR="0061204B" w:rsidRDefault="00113ACE" w:rsidP="00113ACE">
      <w:pPr>
        <w:shd w:val="clear" w:color="auto" w:fill="FFFFFF"/>
        <w:spacing w:after="150" w:line="360" w:lineRule="auto"/>
        <w:ind w:firstLine="300"/>
        <w:rPr>
          <w:rFonts w:ascii="Garamond" w:hAnsi="Garamond" w:cs="Arial"/>
          <w:color w:val="000000" w:themeColor="text1"/>
          <w:sz w:val="24"/>
          <w:szCs w:val="24"/>
        </w:rPr>
      </w:pPr>
      <w:r>
        <w:rPr>
          <w:rFonts w:ascii="Garamond" w:hAnsi="Garamond" w:cs="Arial"/>
          <w:color w:val="000000" w:themeColor="text1"/>
          <w:sz w:val="24"/>
          <w:szCs w:val="24"/>
        </w:rPr>
        <w:t>Deste modo, sendo o projeto apresentado por engenheiro devidamente habilitado, respaldando-se a segurança, a integridade da obra, bem como o respeito ao material e identidade visual e arquitetônica do condomínio, inexiste risco ou prejuízo a ser suportado pelo condomínio.</w:t>
      </w:r>
    </w:p>
    <w:p w14:paraId="72855AC2" w14:textId="230673EC" w:rsidR="0061204B" w:rsidRPr="003B3BAF" w:rsidRDefault="0061204B" w:rsidP="00113ACE">
      <w:pPr>
        <w:shd w:val="clear" w:color="auto" w:fill="FFFFFF"/>
        <w:spacing w:after="150" w:line="360" w:lineRule="auto"/>
        <w:ind w:firstLine="300"/>
        <w:rPr>
          <w:rFonts w:ascii="Garamond" w:hAnsi="Garamond" w:cs="Arial"/>
          <w:color w:val="000000" w:themeColor="text1"/>
          <w:sz w:val="24"/>
          <w:szCs w:val="24"/>
        </w:rPr>
      </w:pPr>
      <w:r w:rsidRPr="003B3BAF">
        <w:rPr>
          <w:rFonts w:ascii="Garamond" w:hAnsi="Garamond" w:cs="Arial"/>
          <w:color w:val="000000" w:themeColor="text1"/>
          <w:sz w:val="24"/>
          <w:szCs w:val="24"/>
        </w:rPr>
        <w:t xml:space="preserve">Por fim, entendemos </w:t>
      </w:r>
      <w:r w:rsidR="00113ACE">
        <w:rPr>
          <w:rFonts w:ascii="Garamond" w:hAnsi="Garamond" w:cs="Arial"/>
          <w:color w:val="000000" w:themeColor="text1"/>
          <w:sz w:val="24"/>
          <w:szCs w:val="24"/>
        </w:rPr>
        <w:t>que a jurisprudência, bem como o ordenamento pátrio, resguarda direito ao consultante proprietário das salas 03 e 04, sendo que a vedação do mesmo, ocasionaria expressa lesão ao direito de fruir de propriedade particular.</w:t>
      </w:r>
    </w:p>
    <w:p w14:paraId="386FC4EE" w14:textId="3D7B46D5" w:rsidR="0061204B" w:rsidRDefault="0061204B" w:rsidP="00113ACE">
      <w:pPr>
        <w:shd w:val="clear" w:color="auto" w:fill="FFFFFF"/>
        <w:spacing w:after="150" w:line="360" w:lineRule="auto"/>
        <w:ind w:firstLine="300"/>
        <w:rPr>
          <w:rFonts w:ascii="Garamond" w:hAnsi="Garamond"/>
          <w:color w:val="000000" w:themeColor="text1"/>
          <w:sz w:val="24"/>
          <w:szCs w:val="24"/>
        </w:rPr>
      </w:pPr>
      <w:r w:rsidRPr="003B3BAF">
        <w:rPr>
          <w:rFonts w:ascii="Garamond" w:hAnsi="Garamond"/>
          <w:color w:val="000000" w:themeColor="text1"/>
          <w:sz w:val="24"/>
          <w:szCs w:val="24"/>
        </w:rPr>
        <w:t xml:space="preserve">Entende-se assim, </w:t>
      </w:r>
      <w:r w:rsidR="00113ACE">
        <w:rPr>
          <w:rFonts w:ascii="Garamond" w:hAnsi="Garamond"/>
          <w:color w:val="000000" w:themeColor="text1"/>
          <w:sz w:val="24"/>
          <w:szCs w:val="24"/>
        </w:rPr>
        <w:t>por maior que seja o objeto do presente relatório, motivo de discussão, tal matéria devera ser levada ao voto, a fim de se discutir o Regimento Interno do Condomínio The Prime Tamandaré Office, convocando portanto Assembleia Geral Extraordinária, votando-se o assunto, por maioria simples dos votantes presentes, nos termos do art. 12.1.1 do Regimento Interno.</w:t>
      </w:r>
    </w:p>
    <w:p w14:paraId="3D592F06" w14:textId="77777777" w:rsidR="00113ACE" w:rsidRPr="003B3BAF" w:rsidRDefault="00113ACE" w:rsidP="00113ACE">
      <w:pPr>
        <w:shd w:val="clear" w:color="auto" w:fill="FFFFFF"/>
        <w:spacing w:after="150" w:line="360" w:lineRule="auto"/>
        <w:ind w:firstLine="300"/>
        <w:rPr>
          <w:rFonts w:ascii="Garamond" w:hAnsi="Garamond" w:cs="Helvetica"/>
          <w:color w:val="000000" w:themeColor="text1"/>
          <w:sz w:val="24"/>
          <w:szCs w:val="24"/>
        </w:rPr>
      </w:pPr>
    </w:p>
    <w:p w14:paraId="32E2AC8A" w14:textId="1E90F6AD" w:rsidR="0061204B" w:rsidRDefault="0061204B" w:rsidP="0061204B">
      <w:pPr>
        <w:pStyle w:val="NormalWeb"/>
        <w:shd w:val="clear" w:color="auto" w:fill="FFFFFF"/>
        <w:spacing w:before="0" w:after="160" w:line="360" w:lineRule="auto"/>
        <w:ind w:firstLine="300"/>
        <w:jc w:val="both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>É o parecer.</w:t>
      </w:r>
    </w:p>
    <w:p w14:paraId="3A54151A" w14:textId="46BA6082" w:rsidR="0024504F" w:rsidRDefault="0024504F" w:rsidP="0061204B">
      <w:pPr>
        <w:pStyle w:val="NormalWeb"/>
        <w:shd w:val="clear" w:color="auto" w:fill="FFFFFF"/>
        <w:spacing w:before="0" w:after="160" w:line="360" w:lineRule="auto"/>
        <w:ind w:firstLine="300"/>
        <w:jc w:val="both"/>
        <w:rPr>
          <w:rFonts w:ascii="Garamond" w:hAnsi="Garamond" w:cs="Arial"/>
          <w:color w:val="000000" w:themeColor="text1"/>
        </w:rPr>
      </w:pPr>
    </w:p>
    <w:p w14:paraId="771541CD" w14:textId="7BE5C8E2" w:rsidR="0024504F" w:rsidRPr="003B3BAF" w:rsidRDefault="0024504F" w:rsidP="0061204B">
      <w:pPr>
        <w:pStyle w:val="NormalWeb"/>
        <w:shd w:val="clear" w:color="auto" w:fill="FFFFFF"/>
        <w:spacing w:before="0" w:after="160" w:line="360" w:lineRule="auto"/>
        <w:ind w:firstLine="300"/>
        <w:jc w:val="both"/>
        <w:rPr>
          <w:rFonts w:ascii="Garamond" w:hAnsi="Garamond" w:cs="Helvetica"/>
          <w:color w:val="000000" w:themeColor="text1"/>
        </w:rPr>
      </w:pPr>
      <w:r>
        <w:rPr>
          <w:rFonts w:ascii="Garamond" w:hAnsi="Garamond" w:cs="Arial"/>
          <w:color w:val="000000" w:themeColor="text1"/>
        </w:rPr>
        <w:t>Nestes termos pede a data do dia 10 de abril de 2019 para realização de assembleia, em atendimento a previsão da Convenção de Condomínio qual determina, pedido anterior de 08 dias para realização da mesma.</w:t>
      </w:r>
    </w:p>
    <w:p w14:paraId="3D01F36A" w14:textId="77777777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color w:val="000000" w:themeColor="text1"/>
        </w:rPr>
      </w:pPr>
    </w:p>
    <w:p w14:paraId="0EE3F5B7" w14:textId="77777777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color w:val="000000" w:themeColor="text1"/>
        </w:rPr>
      </w:pPr>
    </w:p>
    <w:p w14:paraId="5A56168A" w14:textId="2320B2E6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color w:val="000000" w:themeColor="text1"/>
        </w:rPr>
      </w:pPr>
      <w:r w:rsidRPr="003B3BAF">
        <w:rPr>
          <w:rFonts w:ascii="Garamond" w:hAnsi="Garamond" w:cs="Arial"/>
          <w:color w:val="000000" w:themeColor="text1"/>
        </w:rPr>
        <w:t xml:space="preserve">Goiânia, </w:t>
      </w:r>
      <w:r w:rsidR="00C228EE">
        <w:rPr>
          <w:rFonts w:ascii="Garamond" w:hAnsi="Garamond" w:cs="Arial"/>
          <w:color w:val="000000" w:themeColor="text1"/>
        </w:rPr>
        <w:t>02</w:t>
      </w:r>
      <w:r w:rsidRPr="003B3BAF">
        <w:rPr>
          <w:rFonts w:ascii="Garamond" w:hAnsi="Garamond" w:cs="Arial"/>
          <w:color w:val="000000" w:themeColor="text1"/>
        </w:rPr>
        <w:t xml:space="preserve"> de </w:t>
      </w:r>
      <w:r w:rsidR="00C228EE">
        <w:rPr>
          <w:rFonts w:ascii="Garamond" w:hAnsi="Garamond" w:cs="Arial"/>
          <w:color w:val="000000" w:themeColor="text1"/>
        </w:rPr>
        <w:t>abril</w:t>
      </w:r>
      <w:r w:rsidRPr="003B3BAF">
        <w:rPr>
          <w:rFonts w:ascii="Garamond" w:hAnsi="Garamond" w:cs="Arial"/>
          <w:color w:val="000000" w:themeColor="text1"/>
        </w:rPr>
        <w:t xml:space="preserve"> de 2019.</w:t>
      </w:r>
    </w:p>
    <w:p w14:paraId="33AB9AA7" w14:textId="77777777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color w:val="000000" w:themeColor="text1"/>
        </w:rPr>
      </w:pPr>
    </w:p>
    <w:p w14:paraId="7FB2D96C" w14:textId="77777777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b/>
          <w:color w:val="000000" w:themeColor="text1"/>
        </w:rPr>
      </w:pPr>
    </w:p>
    <w:p w14:paraId="0B4C0FD4" w14:textId="77777777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b/>
          <w:color w:val="000000" w:themeColor="text1"/>
        </w:rPr>
      </w:pPr>
    </w:p>
    <w:p w14:paraId="0007FAC8" w14:textId="769EFE3A" w:rsidR="0061204B" w:rsidRPr="003B3BAF" w:rsidRDefault="006727F7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 w:cs="Arial"/>
          <w:b/>
          <w:color w:val="000000" w:themeColor="text1"/>
        </w:rPr>
      </w:pPr>
      <w:r>
        <w:rPr>
          <w:rFonts w:ascii="Garamond" w:hAnsi="Garamond" w:cs="Arial"/>
          <w:b/>
          <w:color w:val="000000" w:themeColor="text1"/>
        </w:rPr>
        <w:t>ADVOGADO</w:t>
      </w:r>
    </w:p>
    <w:p w14:paraId="4D2C7810" w14:textId="0ADEC55D" w:rsidR="0061204B" w:rsidRPr="003B3BAF" w:rsidRDefault="0061204B" w:rsidP="0061204B">
      <w:pPr>
        <w:pStyle w:val="NormalWeb"/>
        <w:shd w:val="clear" w:color="auto" w:fill="FFFFFF"/>
        <w:spacing w:before="0" w:after="150" w:line="360" w:lineRule="auto"/>
        <w:jc w:val="center"/>
        <w:rPr>
          <w:rFonts w:ascii="Garamond" w:hAnsi="Garamond"/>
          <w:b/>
          <w:color w:val="000000" w:themeColor="text1"/>
        </w:rPr>
      </w:pPr>
      <w:r w:rsidRPr="003B3BAF">
        <w:rPr>
          <w:rFonts w:ascii="Garamond" w:hAnsi="Garamond" w:cs="Arial"/>
          <w:b/>
          <w:color w:val="000000" w:themeColor="text1"/>
        </w:rPr>
        <w:t xml:space="preserve">OAB/GO </w:t>
      </w:r>
      <w:r w:rsidR="006727F7">
        <w:rPr>
          <w:rFonts w:ascii="Garamond" w:hAnsi="Garamond" w:cs="Arial"/>
          <w:b/>
          <w:color w:val="000000" w:themeColor="text1"/>
        </w:rPr>
        <w:t>Nº</w:t>
      </w:r>
    </w:p>
    <w:p w14:paraId="3E06DA80" w14:textId="77777777" w:rsidR="0061204B" w:rsidRPr="003B3BAF" w:rsidRDefault="0061204B" w:rsidP="0061204B">
      <w:pPr>
        <w:rPr>
          <w:rFonts w:ascii="Garamond" w:hAnsi="Garamond"/>
          <w:sz w:val="24"/>
          <w:szCs w:val="24"/>
        </w:rPr>
      </w:pPr>
    </w:p>
    <w:p w14:paraId="36804000" w14:textId="1D5B6E47" w:rsidR="00745486" w:rsidRPr="003B3BAF" w:rsidRDefault="00745486" w:rsidP="00DA64B4">
      <w:pPr>
        <w:pStyle w:val="Default"/>
        <w:spacing w:line="360" w:lineRule="auto"/>
        <w:rPr>
          <w:rFonts w:ascii="Garamond" w:hAnsi="Garamond" w:cs="Arial"/>
          <w:b/>
        </w:rPr>
      </w:pPr>
    </w:p>
    <w:p w14:paraId="71240010" w14:textId="77777777" w:rsidR="00745486" w:rsidRPr="003B3BAF" w:rsidRDefault="00745486" w:rsidP="00745486">
      <w:pPr>
        <w:pStyle w:val="Default"/>
        <w:spacing w:line="360" w:lineRule="auto"/>
        <w:jc w:val="center"/>
        <w:rPr>
          <w:rFonts w:ascii="Garamond" w:hAnsi="Garamond" w:cs="Arial"/>
          <w:b/>
        </w:rPr>
      </w:pPr>
    </w:p>
    <w:p w14:paraId="0D234B45" w14:textId="77777777" w:rsidR="00745486" w:rsidRPr="003B3BAF" w:rsidRDefault="00745486" w:rsidP="00745486">
      <w:pPr>
        <w:pStyle w:val="Default"/>
        <w:spacing w:line="360" w:lineRule="auto"/>
        <w:jc w:val="center"/>
        <w:rPr>
          <w:rFonts w:ascii="Garamond" w:hAnsi="Garamond" w:cs="Arial"/>
          <w:b/>
        </w:rPr>
      </w:pPr>
    </w:p>
    <w:p w14:paraId="1E0B4772" w14:textId="77777777" w:rsidR="00745486" w:rsidRPr="003B3BAF" w:rsidRDefault="00745486" w:rsidP="00745486">
      <w:pPr>
        <w:pStyle w:val="Default"/>
        <w:spacing w:line="360" w:lineRule="auto"/>
        <w:rPr>
          <w:rFonts w:ascii="Garamond" w:hAnsi="Garamond" w:cs="Arial"/>
          <w:b/>
        </w:rPr>
      </w:pPr>
    </w:p>
    <w:p w14:paraId="4931579C" w14:textId="3EE1FEB6" w:rsidR="00F806B7" w:rsidRPr="003B3BAF" w:rsidRDefault="00F806B7" w:rsidP="00745486">
      <w:pPr>
        <w:rPr>
          <w:rFonts w:ascii="Garamond" w:hAnsi="Garamond"/>
          <w:sz w:val="24"/>
          <w:szCs w:val="24"/>
        </w:rPr>
      </w:pPr>
    </w:p>
    <w:sectPr w:rsidR="00F806B7" w:rsidRPr="003B3BAF" w:rsidSect="009376E0">
      <w:headerReference w:type="default" r:id="rId15"/>
      <w:footerReference w:type="default" r:id="rId16"/>
      <w:pgSz w:w="11906" w:h="16838" w:code="9"/>
      <w:pgMar w:top="1701" w:right="1134" w:bottom="1701" w:left="1701" w:header="851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9B15C" w14:textId="77777777" w:rsidR="007C6DA6" w:rsidRDefault="007C6DA6" w:rsidP="0012525E">
      <w:pPr>
        <w:spacing w:line="240" w:lineRule="auto"/>
      </w:pPr>
      <w:r>
        <w:separator/>
      </w:r>
    </w:p>
  </w:endnote>
  <w:endnote w:type="continuationSeparator" w:id="0">
    <w:p w14:paraId="6F297DEE" w14:textId="77777777" w:rsidR="007C6DA6" w:rsidRDefault="007C6DA6" w:rsidP="001252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asual">
    <w:altName w:val="Urdu Typesetting"/>
    <w:panose1 w:val="020B0604020202020204"/>
    <w:charset w:val="00"/>
    <w:family w:val="script"/>
    <w:pitch w:val="variable"/>
    <w:sig w:usb0="00000001" w:usb1="00000000" w:usb2="00000000" w:usb3="00000000" w:csb0="00000013" w:csb1="00000000"/>
  </w:font>
  <w:font w:name="President">
    <w:altName w:val="Calibri"/>
    <w:panose1 w:val="020B0604020202020204"/>
    <w:charset w:val="00"/>
    <w:family w:val="script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Quorum Blk BT">
    <w:altName w:val="Segoe Script"/>
    <w:panose1 w:val="020B0604020202020204"/>
    <w:charset w:val="00"/>
    <w:family w:val="swiss"/>
    <w:pitch w:val="variable"/>
    <w:sig w:usb0="00000001" w:usb1="00000000" w:usb2="00000000" w:usb3="00000000" w:csb0="0000001B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CE2FB" w14:textId="77777777" w:rsidR="00497ACA" w:rsidRDefault="00497ACA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142288">
      <w:rPr>
        <w:noProof/>
      </w:rPr>
      <w:t>4</w:t>
    </w:r>
    <w:r>
      <w:fldChar w:fldCharType="end"/>
    </w:r>
  </w:p>
  <w:p w14:paraId="3DEEC669" w14:textId="77777777" w:rsidR="00497ACA" w:rsidRDefault="00497A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48DF9" w14:textId="77777777" w:rsidR="007C6DA6" w:rsidRDefault="007C6DA6" w:rsidP="0012525E">
      <w:pPr>
        <w:spacing w:line="240" w:lineRule="auto"/>
      </w:pPr>
      <w:r>
        <w:separator/>
      </w:r>
    </w:p>
  </w:footnote>
  <w:footnote w:type="continuationSeparator" w:id="0">
    <w:p w14:paraId="10C3E8EC" w14:textId="77777777" w:rsidR="007C6DA6" w:rsidRDefault="007C6DA6" w:rsidP="001252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931A3" w14:textId="77777777" w:rsidR="00C33DBE" w:rsidRPr="00C33DBE" w:rsidRDefault="00C33DBE" w:rsidP="00F806B7">
    <w:pPr>
      <w:pStyle w:val="Cabealho"/>
      <w:pBdr>
        <w:bottom w:val="single" w:sz="4" w:space="1" w:color="auto"/>
      </w:pBdr>
      <w:rPr>
        <w:sz w:val="16"/>
        <w:szCs w:val="16"/>
      </w:rPr>
    </w:pPr>
  </w:p>
  <w:p w14:paraId="0D0B940D" w14:textId="77777777" w:rsidR="00497ACA" w:rsidRDefault="00497ACA" w:rsidP="000343E3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790E"/>
    <w:multiLevelType w:val="hybridMultilevel"/>
    <w:tmpl w:val="069AAB5E"/>
    <w:lvl w:ilvl="0" w:tplc="C7627BA6">
      <w:start w:val="1"/>
      <w:numFmt w:val="decimal"/>
      <w:lvlText w:val="%1."/>
      <w:lvlJc w:val="left"/>
      <w:pPr>
        <w:ind w:left="1770" w:hanging="141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D1BB9"/>
    <w:multiLevelType w:val="hybridMultilevel"/>
    <w:tmpl w:val="5B3EDC54"/>
    <w:lvl w:ilvl="0" w:tplc="A6103BAC">
      <w:start w:val="1"/>
      <w:numFmt w:val="decimal"/>
      <w:lvlText w:val="%1."/>
      <w:lvlJc w:val="left"/>
      <w:pPr>
        <w:tabs>
          <w:tab w:val="num" w:pos="1635"/>
        </w:tabs>
        <w:ind w:left="0" w:firstLine="0"/>
      </w:pPr>
      <w:rPr>
        <w:rFonts w:ascii="Calibri" w:hAnsi="Calibri" w:hint="default"/>
        <w:b/>
        <w:i w:val="0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8B57320"/>
    <w:multiLevelType w:val="hybridMultilevel"/>
    <w:tmpl w:val="D1A2B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62037"/>
    <w:multiLevelType w:val="hybridMultilevel"/>
    <w:tmpl w:val="442A575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46EE4"/>
    <w:multiLevelType w:val="hybridMultilevel"/>
    <w:tmpl w:val="C1209DE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F6225"/>
    <w:multiLevelType w:val="hybridMultilevel"/>
    <w:tmpl w:val="51A0DF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A25627"/>
    <w:multiLevelType w:val="hybridMultilevel"/>
    <w:tmpl w:val="0A28E52E"/>
    <w:lvl w:ilvl="0" w:tplc="A1388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D1AD6"/>
    <w:multiLevelType w:val="hybridMultilevel"/>
    <w:tmpl w:val="C7244F14"/>
    <w:lvl w:ilvl="0" w:tplc="2CC87836">
      <w:start w:val="1"/>
      <w:numFmt w:val="upperLetter"/>
      <w:lvlText w:val="(%1)"/>
      <w:lvlJc w:val="left"/>
      <w:pPr>
        <w:ind w:left="840" w:hanging="48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450"/>
    <w:rsid w:val="0001072C"/>
    <w:rsid w:val="000131B7"/>
    <w:rsid w:val="00032E90"/>
    <w:rsid w:val="000343E3"/>
    <w:rsid w:val="00056B70"/>
    <w:rsid w:val="0007767A"/>
    <w:rsid w:val="00082D51"/>
    <w:rsid w:val="000913A0"/>
    <w:rsid w:val="000A13B6"/>
    <w:rsid w:val="000B11F1"/>
    <w:rsid w:val="000B5848"/>
    <w:rsid w:val="000B6E0B"/>
    <w:rsid w:val="000C2D05"/>
    <w:rsid w:val="000C6666"/>
    <w:rsid w:val="000D28DE"/>
    <w:rsid w:val="000D3379"/>
    <w:rsid w:val="000D3CD0"/>
    <w:rsid w:val="000D6A92"/>
    <w:rsid w:val="000E4DCC"/>
    <w:rsid w:val="000F2EB2"/>
    <w:rsid w:val="000F7E27"/>
    <w:rsid w:val="00100363"/>
    <w:rsid w:val="00105075"/>
    <w:rsid w:val="00113ACE"/>
    <w:rsid w:val="00113F05"/>
    <w:rsid w:val="00114CC5"/>
    <w:rsid w:val="0011581E"/>
    <w:rsid w:val="001248D4"/>
    <w:rsid w:val="00124E03"/>
    <w:rsid w:val="0012525E"/>
    <w:rsid w:val="00135EDA"/>
    <w:rsid w:val="00136CA2"/>
    <w:rsid w:val="00137EEE"/>
    <w:rsid w:val="00142288"/>
    <w:rsid w:val="00146203"/>
    <w:rsid w:val="001525D4"/>
    <w:rsid w:val="001841F5"/>
    <w:rsid w:val="0019713B"/>
    <w:rsid w:val="0019727B"/>
    <w:rsid w:val="00197D85"/>
    <w:rsid w:val="001A02A9"/>
    <w:rsid w:val="001A13EE"/>
    <w:rsid w:val="001B0B14"/>
    <w:rsid w:val="001D1885"/>
    <w:rsid w:val="001F1E1D"/>
    <w:rsid w:val="001F359B"/>
    <w:rsid w:val="001F3D8C"/>
    <w:rsid w:val="0021383D"/>
    <w:rsid w:val="00214215"/>
    <w:rsid w:val="002164A9"/>
    <w:rsid w:val="00216D43"/>
    <w:rsid w:val="0022145E"/>
    <w:rsid w:val="00221988"/>
    <w:rsid w:val="0024504F"/>
    <w:rsid w:val="0024582B"/>
    <w:rsid w:val="0025311C"/>
    <w:rsid w:val="00253955"/>
    <w:rsid w:val="00260720"/>
    <w:rsid w:val="002672DD"/>
    <w:rsid w:val="00284080"/>
    <w:rsid w:val="002A3F49"/>
    <w:rsid w:val="002B043D"/>
    <w:rsid w:val="002B48B5"/>
    <w:rsid w:val="002B5000"/>
    <w:rsid w:val="002D6B5E"/>
    <w:rsid w:val="002E6588"/>
    <w:rsid w:val="002F7C2C"/>
    <w:rsid w:val="003011B4"/>
    <w:rsid w:val="0030668C"/>
    <w:rsid w:val="00313F37"/>
    <w:rsid w:val="00330B98"/>
    <w:rsid w:val="00333B5C"/>
    <w:rsid w:val="003366FE"/>
    <w:rsid w:val="003545E2"/>
    <w:rsid w:val="003605AE"/>
    <w:rsid w:val="00361752"/>
    <w:rsid w:val="003628A8"/>
    <w:rsid w:val="00371562"/>
    <w:rsid w:val="00374BE4"/>
    <w:rsid w:val="00385AE8"/>
    <w:rsid w:val="00387E2F"/>
    <w:rsid w:val="00391EF1"/>
    <w:rsid w:val="00392DA2"/>
    <w:rsid w:val="003931A6"/>
    <w:rsid w:val="003957EB"/>
    <w:rsid w:val="00395BE5"/>
    <w:rsid w:val="003A3B5D"/>
    <w:rsid w:val="003A6289"/>
    <w:rsid w:val="003A6316"/>
    <w:rsid w:val="003B3BAF"/>
    <w:rsid w:val="003C39C2"/>
    <w:rsid w:val="003D3A6A"/>
    <w:rsid w:val="003E0AD9"/>
    <w:rsid w:val="003F424B"/>
    <w:rsid w:val="003F4C0D"/>
    <w:rsid w:val="00404E9F"/>
    <w:rsid w:val="00422F08"/>
    <w:rsid w:val="00427473"/>
    <w:rsid w:val="00427593"/>
    <w:rsid w:val="004277BD"/>
    <w:rsid w:val="004304F6"/>
    <w:rsid w:val="00440D51"/>
    <w:rsid w:val="0044206C"/>
    <w:rsid w:val="00443C05"/>
    <w:rsid w:val="00446842"/>
    <w:rsid w:val="0045178D"/>
    <w:rsid w:val="00452FED"/>
    <w:rsid w:val="00463DE6"/>
    <w:rsid w:val="00464135"/>
    <w:rsid w:val="00464331"/>
    <w:rsid w:val="00465305"/>
    <w:rsid w:val="0047099E"/>
    <w:rsid w:val="00470E13"/>
    <w:rsid w:val="00473205"/>
    <w:rsid w:val="00482238"/>
    <w:rsid w:val="00483989"/>
    <w:rsid w:val="00497ACA"/>
    <w:rsid w:val="004A2845"/>
    <w:rsid w:val="004A5152"/>
    <w:rsid w:val="004B112A"/>
    <w:rsid w:val="004B193D"/>
    <w:rsid w:val="004D04B0"/>
    <w:rsid w:val="004D5F5D"/>
    <w:rsid w:val="004D66A6"/>
    <w:rsid w:val="004E17C4"/>
    <w:rsid w:val="004E5586"/>
    <w:rsid w:val="004E7315"/>
    <w:rsid w:val="004F4B90"/>
    <w:rsid w:val="004F76D8"/>
    <w:rsid w:val="00511627"/>
    <w:rsid w:val="00512CD4"/>
    <w:rsid w:val="005151A1"/>
    <w:rsid w:val="005155BC"/>
    <w:rsid w:val="00536219"/>
    <w:rsid w:val="00546EA6"/>
    <w:rsid w:val="0055236A"/>
    <w:rsid w:val="00564A8D"/>
    <w:rsid w:val="00565DD0"/>
    <w:rsid w:val="00575840"/>
    <w:rsid w:val="00590776"/>
    <w:rsid w:val="00591624"/>
    <w:rsid w:val="005975D2"/>
    <w:rsid w:val="005A6E9C"/>
    <w:rsid w:val="005B0DEE"/>
    <w:rsid w:val="005B4A3F"/>
    <w:rsid w:val="005B64AD"/>
    <w:rsid w:val="005D383B"/>
    <w:rsid w:val="005D7F6A"/>
    <w:rsid w:val="0061204B"/>
    <w:rsid w:val="00612500"/>
    <w:rsid w:val="006136B5"/>
    <w:rsid w:val="0061433B"/>
    <w:rsid w:val="006165EF"/>
    <w:rsid w:val="00626F0E"/>
    <w:rsid w:val="00634D80"/>
    <w:rsid w:val="00637240"/>
    <w:rsid w:val="00653F5F"/>
    <w:rsid w:val="006552BC"/>
    <w:rsid w:val="00662096"/>
    <w:rsid w:val="006727F7"/>
    <w:rsid w:val="00680FDB"/>
    <w:rsid w:val="00686FCE"/>
    <w:rsid w:val="00693A72"/>
    <w:rsid w:val="006940EC"/>
    <w:rsid w:val="006A34F4"/>
    <w:rsid w:val="006A799A"/>
    <w:rsid w:val="006B189C"/>
    <w:rsid w:val="006C4334"/>
    <w:rsid w:val="006C5FBE"/>
    <w:rsid w:val="006D00DD"/>
    <w:rsid w:val="006D3266"/>
    <w:rsid w:val="006D7C68"/>
    <w:rsid w:val="006E05A2"/>
    <w:rsid w:val="006E643A"/>
    <w:rsid w:val="006E72D9"/>
    <w:rsid w:val="006E77D6"/>
    <w:rsid w:val="006E7C35"/>
    <w:rsid w:val="006E7FD3"/>
    <w:rsid w:val="006F1DA1"/>
    <w:rsid w:val="006F3DA1"/>
    <w:rsid w:val="006F4112"/>
    <w:rsid w:val="006F597F"/>
    <w:rsid w:val="006F6D7E"/>
    <w:rsid w:val="00700D46"/>
    <w:rsid w:val="00702208"/>
    <w:rsid w:val="00702710"/>
    <w:rsid w:val="0072162D"/>
    <w:rsid w:val="007351AD"/>
    <w:rsid w:val="007356D0"/>
    <w:rsid w:val="00744DB2"/>
    <w:rsid w:val="00745486"/>
    <w:rsid w:val="007608A3"/>
    <w:rsid w:val="007862B8"/>
    <w:rsid w:val="00794044"/>
    <w:rsid w:val="00795E49"/>
    <w:rsid w:val="00797BCD"/>
    <w:rsid w:val="007A0573"/>
    <w:rsid w:val="007A6C46"/>
    <w:rsid w:val="007B167C"/>
    <w:rsid w:val="007B2A36"/>
    <w:rsid w:val="007B6AF1"/>
    <w:rsid w:val="007C6DA6"/>
    <w:rsid w:val="007D0B0F"/>
    <w:rsid w:val="007D2147"/>
    <w:rsid w:val="007D7498"/>
    <w:rsid w:val="00802EF8"/>
    <w:rsid w:val="00814450"/>
    <w:rsid w:val="00824312"/>
    <w:rsid w:val="00824A9F"/>
    <w:rsid w:val="0082589E"/>
    <w:rsid w:val="00826651"/>
    <w:rsid w:val="00834950"/>
    <w:rsid w:val="008369E3"/>
    <w:rsid w:val="008415CA"/>
    <w:rsid w:val="00851FC3"/>
    <w:rsid w:val="00853478"/>
    <w:rsid w:val="00854FB3"/>
    <w:rsid w:val="0086445F"/>
    <w:rsid w:val="008706DE"/>
    <w:rsid w:val="0088449B"/>
    <w:rsid w:val="00885835"/>
    <w:rsid w:val="0089676E"/>
    <w:rsid w:val="008B3001"/>
    <w:rsid w:val="008C15F5"/>
    <w:rsid w:val="008C542F"/>
    <w:rsid w:val="008D0816"/>
    <w:rsid w:val="008D372F"/>
    <w:rsid w:val="008D7D59"/>
    <w:rsid w:val="008E1A94"/>
    <w:rsid w:val="008E2E44"/>
    <w:rsid w:val="008F1046"/>
    <w:rsid w:val="008F35D8"/>
    <w:rsid w:val="008F6F33"/>
    <w:rsid w:val="008F6F45"/>
    <w:rsid w:val="00906059"/>
    <w:rsid w:val="00923073"/>
    <w:rsid w:val="00925D37"/>
    <w:rsid w:val="00933433"/>
    <w:rsid w:val="00934178"/>
    <w:rsid w:val="00936CD8"/>
    <w:rsid w:val="009376E0"/>
    <w:rsid w:val="00945D6C"/>
    <w:rsid w:val="00951ED1"/>
    <w:rsid w:val="00955134"/>
    <w:rsid w:val="00964169"/>
    <w:rsid w:val="00970854"/>
    <w:rsid w:val="00971169"/>
    <w:rsid w:val="00977496"/>
    <w:rsid w:val="009833CE"/>
    <w:rsid w:val="0098743E"/>
    <w:rsid w:val="0098746C"/>
    <w:rsid w:val="009B3D28"/>
    <w:rsid w:val="009B5C08"/>
    <w:rsid w:val="009C1930"/>
    <w:rsid w:val="009C19E8"/>
    <w:rsid w:val="009C5635"/>
    <w:rsid w:val="009D1107"/>
    <w:rsid w:val="00A1189B"/>
    <w:rsid w:val="00A26A75"/>
    <w:rsid w:val="00A33376"/>
    <w:rsid w:val="00A3612B"/>
    <w:rsid w:val="00A36FE3"/>
    <w:rsid w:val="00A40025"/>
    <w:rsid w:val="00A42405"/>
    <w:rsid w:val="00A430C3"/>
    <w:rsid w:val="00A50BA2"/>
    <w:rsid w:val="00A5108A"/>
    <w:rsid w:val="00A52557"/>
    <w:rsid w:val="00A53029"/>
    <w:rsid w:val="00A7219B"/>
    <w:rsid w:val="00A72791"/>
    <w:rsid w:val="00A742A5"/>
    <w:rsid w:val="00A82015"/>
    <w:rsid w:val="00A82EFD"/>
    <w:rsid w:val="00A93CAA"/>
    <w:rsid w:val="00A97ECA"/>
    <w:rsid w:val="00AA7698"/>
    <w:rsid w:val="00AB0600"/>
    <w:rsid w:val="00AB27FB"/>
    <w:rsid w:val="00AB7D4F"/>
    <w:rsid w:val="00AE1441"/>
    <w:rsid w:val="00AE1B0E"/>
    <w:rsid w:val="00B01EB4"/>
    <w:rsid w:val="00B10D0F"/>
    <w:rsid w:val="00B35B33"/>
    <w:rsid w:val="00B51DDF"/>
    <w:rsid w:val="00B63CB3"/>
    <w:rsid w:val="00B63CC2"/>
    <w:rsid w:val="00B64A76"/>
    <w:rsid w:val="00B662B4"/>
    <w:rsid w:val="00B84601"/>
    <w:rsid w:val="00B9175F"/>
    <w:rsid w:val="00BA37A7"/>
    <w:rsid w:val="00BB56F0"/>
    <w:rsid w:val="00BC7A21"/>
    <w:rsid w:val="00BD3DCB"/>
    <w:rsid w:val="00BE1252"/>
    <w:rsid w:val="00BE1D4A"/>
    <w:rsid w:val="00BE3DB7"/>
    <w:rsid w:val="00BF35E4"/>
    <w:rsid w:val="00BF5923"/>
    <w:rsid w:val="00BF63E5"/>
    <w:rsid w:val="00C010EC"/>
    <w:rsid w:val="00C01D4E"/>
    <w:rsid w:val="00C111DA"/>
    <w:rsid w:val="00C228EE"/>
    <w:rsid w:val="00C33DBE"/>
    <w:rsid w:val="00C33F36"/>
    <w:rsid w:val="00C36B6B"/>
    <w:rsid w:val="00C42DB9"/>
    <w:rsid w:val="00C44121"/>
    <w:rsid w:val="00C53AD9"/>
    <w:rsid w:val="00C56C73"/>
    <w:rsid w:val="00C62376"/>
    <w:rsid w:val="00C62E31"/>
    <w:rsid w:val="00C760B6"/>
    <w:rsid w:val="00CA2F9E"/>
    <w:rsid w:val="00CA38B2"/>
    <w:rsid w:val="00CA61A6"/>
    <w:rsid w:val="00CB40C5"/>
    <w:rsid w:val="00CC629C"/>
    <w:rsid w:val="00CD3FD7"/>
    <w:rsid w:val="00CD7380"/>
    <w:rsid w:val="00CE2EFF"/>
    <w:rsid w:val="00CE410C"/>
    <w:rsid w:val="00CF589C"/>
    <w:rsid w:val="00D005B3"/>
    <w:rsid w:val="00D00FC5"/>
    <w:rsid w:val="00D04E4C"/>
    <w:rsid w:val="00D11DE0"/>
    <w:rsid w:val="00D14DAF"/>
    <w:rsid w:val="00D24B75"/>
    <w:rsid w:val="00D30656"/>
    <w:rsid w:val="00D30D67"/>
    <w:rsid w:val="00D34AAA"/>
    <w:rsid w:val="00D5506D"/>
    <w:rsid w:val="00D62903"/>
    <w:rsid w:val="00D651F9"/>
    <w:rsid w:val="00D67A41"/>
    <w:rsid w:val="00D67AAC"/>
    <w:rsid w:val="00D70FBB"/>
    <w:rsid w:val="00D95B6C"/>
    <w:rsid w:val="00D97C00"/>
    <w:rsid w:val="00DA13BB"/>
    <w:rsid w:val="00DA64B4"/>
    <w:rsid w:val="00DB5F2D"/>
    <w:rsid w:val="00DB740F"/>
    <w:rsid w:val="00DF4E08"/>
    <w:rsid w:val="00DF617D"/>
    <w:rsid w:val="00E03580"/>
    <w:rsid w:val="00E1250D"/>
    <w:rsid w:val="00E13BBE"/>
    <w:rsid w:val="00E20A74"/>
    <w:rsid w:val="00E42A04"/>
    <w:rsid w:val="00E42EFB"/>
    <w:rsid w:val="00E43298"/>
    <w:rsid w:val="00E5013D"/>
    <w:rsid w:val="00E55DE3"/>
    <w:rsid w:val="00E56C9C"/>
    <w:rsid w:val="00E57D11"/>
    <w:rsid w:val="00E647BF"/>
    <w:rsid w:val="00E67E6B"/>
    <w:rsid w:val="00E75579"/>
    <w:rsid w:val="00E84732"/>
    <w:rsid w:val="00E8500C"/>
    <w:rsid w:val="00E8532E"/>
    <w:rsid w:val="00E873A4"/>
    <w:rsid w:val="00EB71A5"/>
    <w:rsid w:val="00EC14B8"/>
    <w:rsid w:val="00EC2CF5"/>
    <w:rsid w:val="00EC5071"/>
    <w:rsid w:val="00EE00EF"/>
    <w:rsid w:val="00EE18E5"/>
    <w:rsid w:val="00EE26B7"/>
    <w:rsid w:val="00EF7553"/>
    <w:rsid w:val="00F0015A"/>
    <w:rsid w:val="00F1688A"/>
    <w:rsid w:val="00F22E32"/>
    <w:rsid w:val="00F246A7"/>
    <w:rsid w:val="00F273B5"/>
    <w:rsid w:val="00F27600"/>
    <w:rsid w:val="00F41BF4"/>
    <w:rsid w:val="00F72FFB"/>
    <w:rsid w:val="00F806B7"/>
    <w:rsid w:val="00FA747D"/>
    <w:rsid w:val="00FB47B1"/>
    <w:rsid w:val="00FD1514"/>
    <w:rsid w:val="00FD1ABB"/>
    <w:rsid w:val="00FD3207"/>
    <w:rsid w:val="00FD7E9E"/>
    <w:rsid w:val="00FE57E0"/>
    <w:rsid w:val="00FF3B8F"/>
    <w:rsid w:val="00FF446D"/>
    <w:rsid w:val="2261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40AB72"/>
  <w15:chartTrackingRefBased/>
  <w15:docId w15:val="{22328E51-7DDA-4AD2-9BBB-A6F01CD1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8532E"/>
    <w:pPr>
      <w:suppressAutoHyphens/>
      <w:overflowPunct w:val="0"/>
      <w:autoSpaceDE w:val="0"/>
      <w:autoSpaceDN w:val="0"/>
      <w:adjustRightInd w:val="0"/>
      <w:spacing w:line="320" w:lineRule="atLeast"/>
      <w:jc w:val="both"/>
      <w:textAlignment w:val="baseline"/>
    </w:pPr>
    <w:rPr>
      <w:rFonts w:ascii="Courier New" w:eastAsia="Times New Roman" w:hAnsi="Courier New"/>
      <w:kern w:val="18"/>
      <w:sz w:val="22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452FED"/>
    <w:pPr>
      <w:suppressAutoHyphens w:val="0"/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  <w:outlineLvl w:val="1"/>
    </w:pPr>
    <w:rPr>
      <w:rFonts w:ascii="Times New Roman" w:hAnsi="Times New Roman"/>
      <w:b/>
      <w:bCs/>
      <w:kern w:val="0"/>
      <w:sz w:val="36"/>
      <w:szCs w:val="36"/>
    </w:rPr>
  </w:style>
  <w:style w:type="paragraph" w:styleId="Ttulo3">
    <w:name w:val="heading 3"/>
    <w:basedOn w:val="Normal"/>
    <w:link w:val="Ttulo3Char"/>
    <w:uiPriority w:val="9"/>
    <w:qFormat/>
    <w:rsid w:val="00452FED"/>
    <w:pPr>
      <w:suppressAutoHyphens w:val="0"/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  <w:outlineLvl w:val="2"/>
    </w:pPr>
    <w:rPr>
      <w:rFonts w:ascii="Times New Roman" w:hAnsi="Times New Roman"/>
      <w:b/>
      <w:bCs/>
      <w:kern w:val="0"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2525E"/>
    <w:pPr>
      <w:tabs>
        <w:tab w:val="center" w:pos="4252"/>
        <w:tab w:val="right" w:pos="8504"/>
      </w:tabs>
      <w:suppressAutoHyphens w:val="0"/>
      <w:overflowPunct/>
      <w:autoSpaceDE/>
      <w:autoSpaceDN/>
      <w:adjustRightInd/>
      <w:spacing w:line="240" w:lineRule="auto"/>
      <w:jc w:val="left"/>
      <w:textAlignment w:val="auto"/>
    </w:pPr>
    <w:rPr>
      <w:rFonts w:ascii="Calibri" w:eastAsia="Calibri" w:hAnsi="Calibri"/>
      <w:kern w:val="0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12525E"/>
  </w:style>
  <w:style w:type="paragraph" w:styleId="Rodap">
    <w:name w:val="footer"/>
    <w:basedOn w:val="Normal"/>
    <w:link w:val="RodapChar"/>
    <w:uiPriority w:val="99"/>
    <w:unhideWhenUsed/>
    <w:rsid w:val="0012525E"/>
    <w:pPr>
      <w:tabs>
        <w:tab w:val="center" w:pos="4252"/>
        <w:tab w:val="right" w:pos="8504"/>
      </w:tabs>
      <w:suppressAutoHyphens w:val="0"/>
      <w:overflowPunct/>
      <w:autoSpaceDE/>
      <w:autoSpaceDN/>
      <w:adjustRightInd/>
      <w:spacing w:line="240" w:lineRule="auto"/>
      <w:jc w:val="left"/>
      <w:textAlignment w:val="auto"/>
    </w:pPr>
    <w:rPr>
      <w:rFonts w:ascii="Calibri" w:eastAsia="Calibri" w:hAnsi="Calibri"/>
      <w:kern w:val="0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12525E"/>
  </w:style>
  <w:style w:type="paragraph" w:customStyle="1" w:styleId="Nome">
    <w:name w:val="Nome"/>
    <w:basedOn w:val="Normal"/>
    <w:rsid w:val="00E8532E"/>
    <w:pPr>
      <w:jc w:val="center"/>
    </w:pPr>
    <w:rPr>
      <w:rFonts w:ascii="Lucida Casual" w:hAnsi="Lucida Casual"/>
      <w:b/>
      <w:color w:val="0000FF"/>
    </w:rPr>
  </w:style>
  <w:style w:type="paragraph" w:styleId="Citao">
    <w:name w:val="Quote"/>
    <w:basedOn w:val="Normal"/>
    <w:link w:val="CitaoChar"/>
    <w:qFormat/>
    <w:rsid w:val="00E8532E"/>
    <w:rPr>
      <w:rFonts w:ascii="President" w:hAnsi="President"/>
      <w:sz w:val="28"/>
    </w:rPr>
  </w:style>
  <w:style w:type="character" w:customStyle="1" w:styleId="CitaoChar">
    <w:name w:val="Citação Char"/>
    <w:link w:val="Citao"/>
    <w:rsid w:val="00E8532E"/>
    <w:rPr>
      <w:rFonts w:ascii="President" w:eastAsia="Times New Roman" w:hAnsi="President" w:cs="Times New Roman"/>
      <w:kern w:val="18"/>
      <w:sz w:val="28"/>
      <w:szCs w:val="20"/>
      <w:lang w:eastAsia="pt-BR"/>
    </w:rPr>
  </w:style>
  <w:style w:type="paragraph" w:styleId="Corpodetexto">
    <w:name w:val="Body Text"/>
    <w:basedOn w:val="Normal"/>
    <w:link w:val="CorpodetextoChar"/>
    <w:rsid w:val="004F76D8"/>
    <w:pPr>
      <w:widowControl w:val="0"/>
      <w:overflowPunct/>
      <w:autoSpaceDE/>
      <w:autoSpaceDN/>
      <w:adjustRightInd/>
      <w:spacing w:after="120" w:line="240" w:lineRule="auto"/>
      <w:jc w:val="left"/>
      <w:textAlignment w:val="auto"/>
    </w:pPr>
    <w:rPr>
      <w:rFonts w:ascii="Times New Roman" w:eastAsia="Lucida Sans Unicode" w:hAnsi="Times New Roman"/>
      <w:kern w:val="1"/>
      <w:sz w:val="24"/>
      <w:szCs w:val="24"/>
    </w:rPr>
  </w:style>
  <w:style w:type="character" w:customStyle="1" w:styleId="CorpodetextoChar">
    <w:name w:val="Corpo de texto Char"/>
    <w:link w:val="Corpodetexto"/>
    <w:rsid w:val="004F76D8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NormalWeb">
    <w:name w:val="Normal (Web)"/>
    <w:basedOn w:val="Normal"/>
    <w:uiPriority w:val="99"/>
    <w:rsid w:val="004F76D8"/>
    <w:pPr>
      <w:overflowPunct/>
      <w:autoSpaceDE/>
      <w:autoSpaceDN/>
      <w:adjustRightInd/>
      <w:spacing w:before="100" w:after="100" w:line="240" w:lineRule="auto"/>
      <w:jc w:val="left"/>
      <w:textAlignment w:val="auto"/>
    </w:pPr>
    <w:rPr>
      <w:rFonts w:ascii="Times New Roman" w:hAnsi="Times New Roman"/>
      <w:kern w:val="0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BE1D4A"/>
    <w:pPr>
      <w:ind w:left="708"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CA38B2"/>
    <w:pPr>
      <w:suppressAutoHyphens w:val="0"/>
      <w:overflowPunct/>
      <w:autoSpaceDE/>
      <w:autoSpaceDN/>
      <w:adjustRightInd/>
      <w:spacing w:after="120" w:line="240" w:lineRule="auto"/>
      <w:ind w:left="283"/>
      <w:jc w:val="left"/>
      <w:textAlignment w:val="auto"/>
    </w:pPr>
    <w:rPr>
      <w:rFonts w:ascii="Times New Roman" w:hAnsi="Times New Roman"/>
      <w:kern w:val="0"/>
      <w:sz w:val="24"/>
      <w:szCs w:val="24"/>
    </w:rPr>
  </w:style>
  <w:style w:type="character" w:customStyle="1" w:styleId="RecuodecorpodetextoChar">
    <w:name w:val="Recuo de corpo de texto Char"/>
    <w:link w:val="Recuodecorpodetexto"/>
    <w:uiPriority w:val="99"/>
    <w:rsid w:val="00CA38B2"/>
    <w:rPr>
      <w:rFonts w:ascii="Times New Roman" w:eastAsia="Times New Roman" w:hAnsi="Times New Roman"/>
      <w:sz w:val="24"/>
      <w:szCs w:val="24"/>
    </w:rPr>
  </w:style>
  <w:style w:type="paragraph" w:customStyle="1" w:styleId="western">
    <w:name w:val="western"/>
    <w:basedOn w:val="Normal"/>
    <w:rsid w:val="00BF63E5"/>
    <w:pPr>
      <w:suppressAutoHyphens w:val="0"/>
      <w:overflowPunct/>
      <w:autoSpaceDE/>
      <w:autoSpaceDN/>
      <w:adjustRightInd/>
      <w:spacing w:before="100" w:beforeAutospacing="1" w:after="119" w:line="240" w:lineRule="auto"/>
      <w:jc w:val="left"/>
      <w:textAlignment w:val="auto"/>
    </w:pPr>
    <w:rPr>
      <w:rFonts w:ascii="Times New Roman" w:eastAsia="SimSun" w:hAnsi="Times New Roman"/>
      <w:kern w:val="0"/>
      <w:sz w:val="24"/>
      <w:szCs w:val="24"/>
      <w:lang w:eastAsia="zh-CN"/>
    </w:rPr>
  </w:style>
  <w:style w:type="paragraph" w:styleId="Textoembloco">
    <w:name w:val="Block Text"/>
    <w:basedOn w:val="Normal"/>
    <w:semiHidden/>
    <w:rsid w:val="00933433"/>
    <w:pPr>
      <w:suppressAutoHyphens w:val="0"/>
      <w:overflowPunct/>
      <w:autoSpaceDE/>
      <w:autoSpaceDN/>
      <w:adjustRightInd/>
      <w:spacing w:line="240" w:lineRule="auto"/>
      <w:ind w:left="2835" w:right="2268"/>
      <w:textAlignment w:val="auto"/>
    </w:pPr>
    <w:rPr>
      <w:rFonts w:ascii="Comic Sans MS" w:hAnsi="Comic Sans MS"/>
      <w:i/>
      <w:kern w:val="0"/>
      <w:sz w:val="2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35B33"/>
    <w:rPr>
      <w:sz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B35B33"/>
    <w:rPr>
      <w:rFonts w:ascii="Courier New" w:eastAsia="Times New Roman" w:hAnsi="Courier New"/>
      <w:kern w:val="18"/>
    </w:rPr>
  </w:style>
  <w:style w:type="character" w:styleId="Refdenotaderodap">
    <w:name w:val="footnote reference"/>
    <w:uiPriority w:val="99"/>
    <w:semiHidden/>
    <w:unhideWhenUsed/>
    <w:rsid w:val="00B35B33"/>
    <w:rPr>
      <w:vertAlign w:val="superscript"/>
    </w:rPr>
  </w:style>
  <w:style w:type="character" w:styleId="Hyperlink">
    <w:name w:val="Hyperlink"/>
    <w:uiPriority w:val="99"/>
    <w:unhideWhenUsed/>
    <w:rsid w:val="006E7FD3"/>
    <w:rPr>
      <w:color w:val="0000FF"/>
      <w:u w:val="single"/>
    </w:rPr>
  </w:style>
  <w:style w:type="character" w:customStyle="1" w:styleId="WW8Num1z0">
    <w:name w:val="WW8Num1z0"/>
    <w:rsid w:val="005B64AD"/>
    <w:rPr>
      <w:rFonts w:ascii="Quorum Blk BT" w:hAnsi="Quorum Blk BT"/>
      <w:sz w:val="28"/>
      <w:szCs w:val="28"/>
    </w:rPr>
  </w:style>
  <w:style w:type="character" w:customStyle="1" w:styleId="Fontepargpadro5">
    <w:name w:val="Fonte parág. padrão5"/>
    <w:rsid w:val="005B64AD"/>
  </w:style>
  <w:style w:type="paragraph" w:customStyle="1" w:styleId="MariaThereza">
    <w:name w:val="Maria Thereza"/>
    <w:basedOn w:val="Normal"/>
    <w:qFormat/>
    <w:rsid w:val="00970854"/>
    <w:pPr>
      <w:overflowPunct/>
      <w:autoSpaceDE/>
      <w:autoSpaceDN/>
      <w:adjustRightInd/>
      <w:spacing w:line="360" w:lineRule="exact"/>
      <w:jc w:val="left"/>
      <w:textAlignment w:val="auto"/>
    </w:pPr>
    <w:rPr>
      <w:rFonts w:ascii="Times New Roman" w:hAnsi="Times New Roman"/>
      <w:color w:val="00000A"/>
      <w:kern w:val="0"/>
      <w:sz w:val="28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74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FA747D"/>
    <w:rPr>
      <w:rFonts w:ascii="Segoe UI" w:eastAsia="Times New Roman" w:hAnsi="Segoe UI" w:cs="Segoe UI"/>
      <w:kern w:val="18"/>
      <w:sz w:val="18"/>
      <w:szCs w:val="18"/>
    </w:rPr>
  </w:style>
  <w:style w:type="table" w:styleId="Tabelacomgrade">
    <w:name w:val="Table Grid"/>
    <w:basedOn w:val="Tabelanormal"/>
    <w:uiPriority w:val="59"/>
    <w:rsid w:val="00464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rsid w:val="00452FED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Ttulo3Char">
    <w:name w:val="Título 3 Char"/>
    <w:link w:val="Ttulo3"/>
    <w:uiPriority w:val="9"/>
    <w:rsid w:val="00452FED"/>
    <w:rPr>
      <w:rFonts w:ascii="Times New Roman" w:eastAsia="Times New Roman" w:hAnsi="Times New Roman"/>
      <w:b/>
      <w:bCs/>
      <w:sz w:val="27"/>
      <w:szCs w:val="27"/>
    </w:rPr>
  </w:style>
  <w:style w:type="character" w:styleId="Meno">
    <w:name w:val="Mention"/>
    <w:uiPriority w:val="99"/>
    <w:semiHidden/>
    <w:unhideWhenUsed/>
    <w:rsid w:val="0082589E"/>
    <w:rPr>
      <w:color w:val="2B579A"/>
      <w:shd w:val="clear" w:color="auto" w:fill="E6E6E6"/>
    </w:rPr>
  </w:style>
  <w:style w:type="character" w:customStyle="1" w:styleId="MenoPendente1">
    <w:name w:val="Menção Pendente1"/>
    <w:uiPriority w:val="99"/>
    <w:semiHidden/>
    <w:unhideWhenUsed/>
    <w:rsid w:val="00F806B7"/>
    <w:rPr>
      <w:color w:val="808080"/>
      <w:shd w:val="clear" w:color="auto" w:fill="E6E6E6"/>
    </w:rPr>
  </w:style>
  <w:style w:type="paragraph" w:customStyle="1" w:styleId="Default">
    <w:name w:val="Default"/>
    <w:rsid w:val="000A13B6"/>
    <w:pPr>
      <w:autoSpaceDE w:val="0"/>
      <w:autoSpaceDN w:val="0"/>
      <w:adjustRightInd w:val="0"/>
    </w:pPr>
    <w:rPr>
      <w:rFonts w:ascii="Book Antiqua" w:eastAsia="Times New Roman" w:hAnsi="Book Antiqua" w:cs="Book Antiqua"/>
      <w:color w:val="000000"/>
      <w:sz w:val="24"/>
      <w:szCs w:val="24"/>
      <w:lang w:eastAsia="pt-BR"/>
    </w:rPr>
  </w:style>
  <w:style w:type="character" w:customStyle="1" w:styleId="apple-converted-space">
    <w:name w:val="apple-converted-space"/>
    <w:rsid w:val="000A13B6"/>
  </w:style>
  <w:style w:type="character" w:styleId="Forte">
    <w:name w:val="Strong"/>
    <w:basedOn w:val="Fontepargpadro"/>
    <w:uiPriority w:val="22"/>
    <w:qFormat/>
    <w:rsid w:val="0061204B"/>
    <w:rPr>
      <w:b/>
      <w:bCs/>
    </w:rPr>
  </w:style>
  <w:style w:type="character" w:customStyle="1" w:styleId="tag">
    <w:name w:val="tag"/>
    <w:basedOn w:val="Fontepargpadro"/>
    <w:rsid w:val="00612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3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5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jusbrasil.com.br/topicos/11331079/artigo-10-da-lei-n-4591-de-16-de-dezembro-de-1964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jusbrasil.com.br/legislacao/104078/lei-do-condom&#237;nio-lei-4591-64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ED75E-1EFF-0446-AF33-BBCC1AE5B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2008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Excelentíssimo Juiz de Direito do</vt:lpstr>
    </vt:vector>
  </TitlesOfParts>
  <Company/>
  <LinksUpToDate>false</LinksUpToDate>
  <CharactersWithSpaces>12831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Excelentíssimo Juiz de Direito do</dc:title>
  <dc:subject/>
  <dc:creator>MariaTheresa</dc:creator>
  <cp:keywords/>
  <cp:lastModifiedBy>Microsoft Office User</cp:lastModifiedBy>
  <cp:revision>2</cp:revision>
  <cp:lastPrinted>2019-02-14T21:08:00Z</cp:lastPrinted>
  <dcterms:created xsi:type="dcterms:W3CDTF">2019-06-05T21:27:00Z</dcterms:created>
  <dcterms:modified xsi:type="dcterms:W3CDTF">2019-06-05T21:27:00Z</dcterms:modified>
</cp:coreProperties>
</file>