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FE3" w:rsidRPr="004F0822" w:rsidRDefault="00345FE3" w:rsidP="00345FE3">
      <w:pPr>
        <w:pStyle w:val="NormalWeb"/>
        <w:numPr>
          <w:ilvl w:val="0"/>
          <w:numId w:val="1"/>
        </w:numPr>
        <w:shd w:val="clear" w:color="auto" w:fill="FFFFFF"/>
        <w:spacing w:before="0" w:beforeAutospacing="0" w:after="120" w:afterAutospacing="0" w:line="320" w:lineRule="exact"/>
        <w:jc w:val="both"/>
        <w:rPr>
          <w:rFonts w:ascii="Garamond" w:hAnsi="Garamond" w:cs="Courier New"/>
          <w:color w:val="333333"/>
        </w:rPr>
      </w:pPr>
      <w:r w:rsidRPr="004F0822">
        <w:rPr>
          <w:rStyle w:val="Forte"/>
          <w:rFonts w:ascii="Garamond" w:hAnsi="Garamond" w:cs="Courier New"/>
          <w:color w:val="333333"/>
        </w:rPr>
        <w:t>EXCELENTÍSSIMO SENHOR DESEMBARGADOR PRESIDENTE DO EGRÉGIO TRIBUNAL DE JUSTIÇA DO ESTADO DE GOIÁS.</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60" w:lineRule="auto"/>
        <w:jc w:val="both"/>
        <w:rPr>
          <w:rFonts w:ascii="Garamond" w:hAnsi="Garamond" w:cs="Courier New"/>
          <w:b/>
        </w:rPr>
      </w:pPr>
      <w:r w:rsidRPr="004F0822">
        <w:rPr>
          <w:rFonts w:ascii="Garamond" w:hAnsi="Garamond" w:cs="Courier New"/>
        </w:rPr>
        <w:t xml:space="preserve">Processo:   </w:t>
      </w:r>
      <w:r w:rsidR="004F0822">
        <w:rPr>
          <w:rFonts w:ascii="Garamond" w:hAnsi="Garamond" w:cs="Courier New"/>
          <w:b/>
          <w:bCs/>
          <w:color w:val="000000"/>
          <w:shd w:val="clear" w:color="auto" w:fill="FFFFFF"/>
        </w:rPr>
        <w:t>_________</w:t>
      </w:r>
    </w:p>
    <w:p w:rsidR="00345FE3" w:rsidRPr="004F0822" w:rsidRDefault="00345FE3" w:rsidP="00345FE3">
      <w:pPr>
        <w:pStyle w:val="NormalWeb"/>
        <w:spacing w:before="0" w:beforeAutospacing="0" w:after="120" w:afterAutospacing="0" w:line="360" w:lineRule="auto"/>
        <w:jc w:val="both"/>
        <w:rPr>
          <w:rFonts w:ascii="Garamond" w:hAnsi="Garamond" w:cs="Courier New"/>
          <w:b/>
        </w:rPr>
      </w:pPr>
      <w:r w:rsidRPr="004F0822">
        <w:rPr>
          <w:rFonts w:ascii="Garamond" w:hAnsi="Garamond" w:cs="Courier New"/>
          <w:bCs/>
        </w:rPr>
        <w:t>RECORRIDO</w:t>
      </w:r>
      <w:r w:rsidRPr="004F0822">
        <w:rPr>
          <w:rFonts w:ascii="Garamond" w:hAnsi="Garamond" w:cs="Courier New"/>
          <w:b/>
        </w:rPr>
        <w:t xml:space="preserve">:   </w:t>
      </w:r>
      <w:r w:rsidR="004F0822">
        <w:rPr>
          <w:rFonts w:ascii="Garamond" w:hAnsi="Garamond" w:cs="Courier New"/>
          <w:b/>
        </w:rPr>
        <w:t>_________</w:t>
      </w:r>
    </w:p>
    <w:p w:rsidR="00345FE3" w:rsidRPr="004F0822" w:rsidRDefault="00345FE3" w:rsidP="00345FE3">
      <w:pPr>
        <w:pStyle w:val="NormalWeb"/>
        <w:spacing w:before="0" w:beforeAutospacing="0" w:after="120" w:afterAutospacing="0" w:line="360" w:lineRule="auto"/>
        <w:ind w:left="1985" w:hanging="1985"/>
        <w:jc w:val="both"/>
        <w:rPr>
          <w:rFonts w:ascii="Garamond" w:hAnsi="Garamond" w:cs="Courier New"/>
        </w:rPr>
      </w:pPr>
      <w:r w:rsidRPr="004F0822">
        <w:rPr>
          <w:rFonts w:ascii="Garamond" w:hAnsi="Garamond" w:cs="Courier New"/>
        </w:rPr>
        <w:t xml:space="preserve">RECORRENTE:  </w:t>
      </w:r>
      <w:r w:rsidR="004F0822">
        <w:rPr>
          <w:rFonts w:ascii="Garamond" w:hAnsi="Garamond" w:cs="Courier New"/>
        </w:rPr>
        <w:t>________</w:t>
      </w:r>
    </w:p>
    <w:p w:rsidR="00345FE3" w:rsidRPr="004F0822" w:rsidRDefault="00345FE3" w:rsidP="00345FE3">
      <w:pPr>
        <w:pStyle w:val="NormalWeb"/>
        <w:shd w:val="clear" w:color="auto" w:fill="FFFFFF"/>
        <w:spacing w:before="0" w:beforeAutospacing="0" w:after="120" w:afterAutospacing="0" w:line="320" w:lineRule="exact"/>
        <w:ind w:firstLine="2268"/>
        <w:jc w:val="both"/>
        <w:rPr>
          <w:rFonts w:ascii="Garamond" w:hAnsi="Garamond" w:cs="Courier New"/>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rPr>
      </w:pPr>
    </w:p>
    <w:p w:rsidR="00345FE3" w:rsidRPr="004F0822" w:rsidRDefault="00345FE3" w:rsidP="00345FE3">
      <w:pPr>
        <w:pStyle w:val="NormalWeb"/>
        <w:shd w:val="clear" w:color="auto" w:fill="FFFFFF"/>
        <w:spacing w:before="0" w:beforeAutospacing="0" w:after="120" w:afterAutospacing="0" w:line="320" w:lineRule="exact"/>
        <w:ind w:firstLine="2268"/>
        <w:jc w:val="both"/>
        <w:rPr>
          <w:rFonts w:ascii="Garamond" w:hAnsi="Garamond" w:cs="Courier New"/>
        </w:rPr>
      </w:pPr>
    </w:p>
    <w:p w:rsidR="00345FE3" w:rsidRPr="004F0822" w:rsidRDefault="004F0822" w:rsidP="00345FE3">
      <w:pPr>
        <w:autoSpaceDE w:val="0"/>
        <w:autoSpaceDN w:val="0"/>
        <w:adjustRightInd w:val="0"/>
        <w:ind w:firstLine="2268"/>
        <w:jc w:val="both"/>
        <w:rPr>
          <w:rFonts w:ascii="Garamond" w:hAnsi="Garamond" w:cs="Courier New"/>
          <w:color w:val="333333"/>
        </w:rPr>
      </w:pPr>
      <w:r>
        <w:rPr>
          <w:rFonts w:ascii="Garamond" w:hAnsi="Garamond" w:cs="Courier New"/>
        </w:rPr>
        <w:t>____________________</w:t>
      </w:r>
      <w:r w:rsidR="00345FE3" w:rsidRPr="004F0822">
        <w:rPr>
          <w:rFonts w:ascii="Garamond" w:hAnsi="Garamond" w:cs="Courier New"/>
          <w:color w:val="141414"/>
        </w:rPr>
        <w:t xml:space="preserve">, nos autos em epígrafe, por sua advogada </w:t>
      </w:r>
      <w:r w:rsidR="00345FE3" w:rsidRPr="004F0822">
        <w:rPr>
          <w:rFonts w:ascii="Garamond" w:hAnsi="Garamond" w:cs="Courier New"/>
          <w:i/>
          <w:color w:val="141414"/>
        </w:rPr>
        <w:t>in fine</w:t>
      </w:r>
      <w:r w:rsidR="00345FE3" w:rsidRPr="004F0822">
        <w:rPr>
          <w:rFonts w:ascii="Garamond" w:hAnsi="Garamond" w:cs="Courier New"/>
          <w:color w:val="141414"/>
        </w:rPr>
        <w:t xml:space="preserve"> subscrita, devidamente constituída (m.j.), vem tempestivamente, na forma do </w:t>
      </w:r>
      <w:r w:rsidR="00345FE3" w:rsidRPr="004F0822">
        <w:rPr>
          <w:rFonts w:ascii="Garamond" w:hAnsi="Garamond" w:cs="Courier New"/>
        </w:rPr>
        <w:t>art. 1.023, § 2º, da Lei nº 13.015/2015</w:t>
      </w:r>
      <w:r w:rsidR="00345FE3" w:rsidRPr="004F0822">
        <w:rPr>
          <w:rFonts w:ascii="Garamond" w:hAnsi="Garamond" w:cs="Courier New"/>
          <w:color w:val="141414"/>
        </w:rPr>
        <w:t xml:space="preserve">, </w:t>
      </w:r>
      <w:r w:rsidR="00345FE3" w:rsidRPr="004F0822">
        <w:rPr>
          <w:rFonts w:ascii="Garamond" w:hAnsi="Garamond" w:cs="Courier New"/>
          <w:color w:val="333333"/>
        </w:rPr>
        <w:t xml:space="preserve">respeitosamente à presença de Vossa Excelência apresentar </w:t>
      </w:r>
    </w:p>
    <w:p w:rsidR="00345FE3" w:rsidRPr="004F0822" w:rsidRDefault="00345FE3" w:rsidP="00345FE3">
      <w:pPr>
        <w:autoSpaceDE w:val="0"/>
        <w:autoSpaceDN w:val="0"/>
        <w:adjustRightInd w:val="0"/>
        <w:ind w:firstLine="2268"/>
        <w:jc w:val="both"/>
        <w:rPr>
          <w:rFonts w:ascii="Garamond" w:hAnsi="Garamond" w:cs="Courier New"/>
          <w:color w:val="333333"/>
        </w:rPr>
      </w:pPr>
    </w:p>
    <w:p w:rsidR="00345FE3" w:rsidRPr="004F0822" w:rsidRDefault="00345FE3" w:rsidP="00345FE3">
      <w:pPr>
        <w:autoSpaceDE w:val="0"/>
        <w:autoSpaceDN w:val="0"/>
        <w:adjustRightInd w:val="0"/>
        <w:ind w:firstLine="2268"/>
        <w:jc w:val="both"/>
        <w:rPr>
          <w:rFonts w:ascii="Garamond" w:hAnsi="Garamond" w:cs="Courier New"/>
          <w:color w:val="333333"/>
        </w:rPr>
      </w:pPr>
    </w:p>
    <w:p w:rsidR="00345FE3" w:rsidRPr="004F0822" w:rsidRDefault="00345FE3" w:rsidP="00345FE3">
      <w:pPr>
        <w:autoSpaceDE w:val="0"/>
        <w:autoSpaceDN w:val="0"/>
        <w:adjustRightInd w:val="0"/>
        <w:ind w:firstLine="2268"/>
        <w:jc w:val="both"/>
        <w:rPr>
          <w:rStyle w:val="Forte"/>
          <w:rFonts w:ascii="Garamond" w:hAnsi="Garamond" w:cs="Courier New"/>
          <w:color w:val="333333"/>
        </w:rPr>
      </w:pPr>
      <w:r w:rsidRPr="004F0822">
        <w:rPr>
          <w:rStyle w:val="Forte"/>
          <w:rFonts w:ascii="Garamond" w:hAnsi="Garamond" w:cs="Courier New"/>
          <w:color w:val="333333"/>
        </w:rPr>
        <w:t>CONTRARRAZÕES AOS EMBARGOS DE DECLARAÇÃO C/C PEDIDO DE EFEITO INFRINGENTE</w:t>
      </w:r>
    </w:p>
    <w:p w:rsidR="00345FE3" w:rsidRPr="004F0822" w:rsidRDefault="00345FE3" w:rsidP="00345FE3">
      <w:pPr>
        <w:autoSpaceDE w:val="0"/>
        <w:autoSpaceDN w:val="0"/>
        <w:adjustRightInd w:val="0"/>
        <w:ind w:firstLine="2268"/>
        <w:jc w:val="both"/>
        <w:rPr>
          <w:rStyle w:val="Forte"/>
          <w:rFonts w:ascii="Garamond" w:hAnsi="Garamond" w:cs="Courier New"/>
          <w:color w:val="333333"/>
        </w:rPr>
      </w:pPr>
    </w:p>
    <w:p w:rsidR="00345FE3" w:rsidRPr="004F0822" w:rsidRDefault="00345FE3" w:rsidP="00345FE3">
      <w:pPr>
        <w:autoSpaceDE w:val="0"/>
        <w:autoSpaceDN w:val="0"/>
        <w:adjustRightInd w:val="0"/>
        <w:ind w:firstLine="2268"/>
        <w:jc w:val="both"/>
        <w:rPr>
          <w:rStyle w:val="Forte"/>
          <w:rFonts w:ascii="Garamond" w:hAnsi="Garamond" w:cs="Courier New"/>
          <w:color w:val="333333"/>
        </w:rPr>
      </w:pPr>
    </w:p>
    <w:p w:rsidR="00345FE3" w:rsidRPr="004F0822" w:rsidRDefault="00345FE3" w:rsidP="00345FE3">
      <w:pPr>
        <w:autoSpaceDE w:val="0"/>
        <w:autoSpaceDN w:val="0"/>
        <w:adjustRightInd w:val="0"/>
        <w:ind w:firstLine="2268"/>
        <w:jc w:val="both"/>
        <w:rPr>
          <w:rFonts w:ascii="Garamond" w:hAnsi="Garamond" w:cs="Courier New"/>
          <w:color w:val="141414"/>
        </w:rPr>
      </w:pPr>
      <w:r w:rsidRPr="004F0822">
        <w:rPr>
          <w:rStyle w:val="Forte"/>
          <w:rFonts w:ascii="Garamond" w:hAnsi="Garamond" w:cs="Courier New"/>
          <w:color w:val="333333"/>
        </w:rPr>
        <w:t xml:space="preserve"> i</w:t>
      </w:r>
      <w:r w:rsidRPr="004F0822">
        <w:rPr>
          <w:rFonts w:ascii="Garamond" w:hAnsi="Garamond" w:cs="Courier New"/>
          <w:color w:val="333333"/>
        </w:rPr>
        <w:t xml:space="preserve">nterposto por </w:t>
      </w:r>
      <w:r w:rsidR="004F0822">
        <w:rPr>
          <w:rFonts w:ascii="Garamond" w:hAnsi="Garamond" w:cs="Courier New"/>
        </w:rPr>
        <w:t>______</w:t>
      </w:r>
      <w:r w:rsidRPr="004F0822">
        <w:rPr>
          <w:rFonts w:ascii="Garamond" w:hAnsi="Garamond" w:cs="Courier New"/>
        </w:rPr>
        <w:t>.</w:t>
      </w:r>
      <w:r w:rsidRPr="004F0822">
        <w:rPr>
          <w:rFonts w:ascii="Garamond" w:hAnsi="Garamond" w:cs="Courier New"/>
          <w:color w:val="141414"/>
        </w:rPr>
        <w:t>, já qualificado, fazendo-o mediante as razões de fato e de direito que passa a expor.</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color w:val="141414"/>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color w:val="141414"/>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
        </w:rPr>
      </w:pPr>
      <w:r w:rsidRPr="004F0822">
        <w:rPr>
          <w:rFonts w:ascii="Garamond" w:hAnsi="Garamond" w:cs="Courier New"/>
          <w:b/>
        </w:rPr>
        <w:t>PRELIMINARMENTE – DA INEXISTÊNCIA DE EFEITO INFRINGENTE NO NOVO CODEX PROCESSUAL</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
        </w:rPr>
      </w:pPr>
      <w:r w:rsidRPr="004F0822">
        <w:rPr>
          <w:rFonts w:ascii="Garamond" w:hAnsi="Garamond" w:cs="Courier New"/>
          <w:b/>
        </w:rPr>
        <w:tab/>
      </w:r>
      <w:r w:rsidRPr="004F0822">
        <w:rPr>
          <w:rFonts w:ascii="Garamond" w:hAnsi="Garamond" w:cs="Courier New"/>
          <w:b/>
        </w:rPr>
        <w:tab/>
      </w:r>
      <w:r w:rsidRPr="004F0822">
        <w:rPr>
          <w:rFonts w:ascii="Garamond" w:hAnsi="Garamond" w:cs="Courier New"/>
          <w:b/>
        </w:rPr>
        <w:tab/>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Cs/>
        </w:rPr>
      </w:pPr>
      <w:r w:rsidRPr="004F0822">
        <w:rPr>
          <w:rFonts w:ascii="Garamond" w:hAnsi="Garamond" w:cs="Courier New"/>
          <w:b/>
        </w:rPr>
        <w:tab/>
      </w:r>
      <w:r w:rsidRPr="004F0822">
        <w:rPr>
          <w:rFonts w:ascii="Garamond" w:hAnsi="Garamond" w:cs="Courier New"/>
          <w:b/>
        </w:rPr>
        <w:tab/>
      </w:r>
      <w:r w:rsidRPr="004F0822">
        <w:rPr>
          <w:rFonts w:ascii="Garamond" w:hAnsi="Garamond" w:cs="Courier New"/>
          <w:b/>
        </w:rPr>
        <w:tab/>
      </w:r>
      <w:r w:rsidRPr="004F0822">
        <w:rPr>
          <w:rFonts w:ascii="Garamond" w:hAnsi="Garamond" w:cs="Courier New"/>
          <w:bCs/>
        </w:rPr>
        <w:t>Os chamados embargos infringentes, encontravam previsão no antigo código processual civil de 1973, em seu art. 497, 530 e seguintes, em casos de acórdãos não unânimes.</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Cs/>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Cs/>
        </w:rPr>
      </w:pPr>
      <w:r w:rsidRPr="004F0822">
        <w:rPr>
          <w:rFonts w:ascii="Garamond" w:hAnsi="Garamond" w:cs="Courier New"/>
          <w:bCs/>
        </w:rPr>
        <w:tab/>
      </w:r>
      <w:r w:rsidRPr="004F0822">
        <w:rPr>
          <w:rFonts w:ascii="Garamond" w:hAnsi="Garamond" w:cs="Courier New"/>
          <w:bCs/>
        </w:rPr>
        <w:tab/>
      </w:r>
      <w:r w:rsidRPr="004F0822">
        <w:rPr>
          <w:rFonts w:ascii="Garamond" w:hAnsi="Garamond" w:cs="Courier New"/>
          <w:bCs/>
        </w:rPr>
        <w:tab/>
        <w:t>Ocorre que o novo Código de Processo Civil de 2015, não recepcionou os embargos infringentes em seu rol de recursos, neste sentido, não encontra previsão legal a postulação dos presentes embargos.</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Cs/>
        </w:rPr>
      </w:pP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Cs/>
        </w:rPr>
      </w:pPr>
      <w:r w:rsidRPr="004F0822">
        <w:rPr>
          <w:rFonts w:ascii="Garamond" w:hAnsi="Garamond" w:cs="Courier New"/>
          <w:bCs/>
        </w:rPr>
        <w:lastRenderedPageBreak/>
        <w:tab/>
      </w:r>
      <w:r w:rsidRPr="004F0822">
        <w:rPr>
          <w:rFonts w:ascii="Garamond" w:hAnsi="Garamond" w:cs="Courier New"/>
          <w:bCs/>
        </w:rPr>
        <w:tab/>
      </w:r>
      <w:r w:rsidRPr="004F0822">
        <w:rPr>
          <w:rFonts w:ascii="Garamond" w:hAnsi="Garamond" w:cs="Courier New"/>
          <w:bCs/>
        </w:rPr>
        <w:tab/>
        <w:t>Ainda por amor ao debate, o presente caso, não insurge sobre decisão denegatória qual não fora unânime, assim toda a Corte Especial concordou em denegar o Recurso Extraordinário proposto,  como extrai-se do evento de nº 130, vejamos:</w:t>
      </w:r>
    </w:p>
    <w:p w:rsidR="00345FE3" w:rsidRPr="004F0822" w:rsidRDefault="00345FE3" w:rsidP="00345FE3">
      <w:pPr>
        <w:pStyle w:val="NormalWeb"/>
        <w:spacing w:line="450" w:lineRule="atLeast"/>
        <w:ind w:left="2870"/>
        <w:jc w:val="both"/>
        <w:rPr>
          <w:rFonts w:ascii="Garamond" w:hAnsi="Garamond" w:cs="Courier New"/>
          <w:i/>
          <w:iCs/>
        </w:rPr>
      </w:pPr>
      <w:r w:rsidRPr="004F0822">
        <w:rPr>
          <w:rFonts w:ascii="Garamond" w:hAnsi="Garamond" w:cs="Courier New"/>
          <w:bCs/>
          <w:i/>
          <w:iCs/>
        </w:rPr>
        <w:t>“</w:t>
      </w:r>
      <w:r w:rsidRPr="004F0822">
        <w:rPr>
          <w:rFonts w:ascii="Garamond" w:hAnsi="Garamond" w:cs="Courier New"/>
          <w:b/>
          <w:bCs/>
          <w:i/>
          <w:iCs/>
        </w:rPr>
        <w:t>VISTOS</w:t>
      </w:r>
      <w:r w:rsidRPr="004F0822">
        <w:rPr>
          <w:rFonts w:ascii="Garamond" w:hAnsi="Garamond" w:cs="Courier New"/>
          <w:i/>
          <w:iCs/>
        </w:rPr>
        <w:t>, relatados e discutidos estes autos de</w:t>
      </w:r>
      <w:r w:rsidRPr="004F0822">
        <w:rPr>
          <w:rFonts w:ascii="Garamond" w:hAnsi="Garamond" w:cs="Courier New"/>
          <w:b/>
          <w:bCs/>
          <w:i/>
          <w:iCs/>
        </w:rPr>
        <w:t xml:space="preserve"> </w:t>
      </w:r>
      <w:r w:rsidRPr="004F0822">
        <w:rPr>
          <w:rFonts w:ascii="Garamond" w:hAnsi="Garamond" w:cs="Courier New"/>
          <w:i/>
          <w:iCs/>
        </w:rPr>
        <w:t>Agravo no Recurso Extraordinário na Apelação Cível n.</w:t>
      </w:r>
      <w:r w:rsidRPr="004F0822">
        <w:rPr>
          <w:rFonts w:ascii="Garamond" w:hAnsi="Garamond" w:cs="Courier New"/>
          <w:b/>
          <w:bCs/>
          <w:i/>
          <w:iCs/>
        </w:rPr>
        <w:t xml:space="preserve"> </w:t>
      </w:r>
      <w:r w:rsidRPr="004F0822">
        <w:rPr>
          <w:rFonts w:ascii="Garamond" w:hAnsi="Garamond" w:cs="Courier New"/>
          <w:i/>
          <w:iCs/>
        </w:rPr>
        <w:t>5165494.85.2016.8.09.0051, da Comarca de Goiânia.</w:t>
      </w:r>
    </w:p>
    <w:p w:rsidR="00345FE3" w:rsidRPr="004F0822" w:rsidRDefault="00345FE3" w:rsidP="00345FE3">
      <w:pPr>
        <w:spacing w:before="100" w:beforeAutospacing="1" w:after="100" w:afterAutospacing="1" w:line="450" w:lineRule="atLeast"/>
        <w:ind w:left="2870"/>
        <w:jc w:val="both"/>
        <w:rPr>
          <w:rFonts w:ascii="Garamond" w:eastAsia="Times New Roman" w:hAnsi="Garamond" w:cs="Courier New"/>
          <w:i/>
          <w:iCs/>
          <w:lang w:eastAsia="pt-BR"/>
        </w:rPr>
      </w:pPr>
      <w:r w:rsidRPr="004F0822">
        <w:rPr>
          <w:rFonts w:ascii="Garamond" w:eastAsia="Times New Roman" w:hAnsi="Garamond" w:cs="Courier New"/>
          <w:b/>
          <w:bCs/>
          <w:i/>
          <w:iCs/>
          <w:lang w:eastAsia="pt-BR"/>
        </w:rPr>
        <w:t>ACORDA</w:t>
      </w:r>
      <w:r w:rsidRPr="004F0822">
        <w:rPr>
          <w:rFonts w:ascii="Garamond" w:eastAsia="Times New Roman" w:hAnsi="Garamond" w:cs="Courier New"/>
          <w:i/>
          <w:iCs/>
          <w:lang w:eastAsia="pt-BR"/>
        </w:rPr>
        <w:t xml:space="preserve"> o Tribunal de Justiça do Estado de Goiás, em sessão pelos integrantes do órgão especial, à unanimidade de votos, em</w:t>
      </w:r>
      <w:r w:rsidRPr="004F0822">
        <w:rPr>
          <w:rFonts w:ascii="Garamond" w:eastAsia="Times New Roman" w:hAnsi="Garamond" w:cs="Courier New"/>
          <w:b/>
          <w:bCs/>
          <w:i/>
          <w:iCs/>
          <w:lang w:eastAsia="pt-BR"/>
        </w:rPr>
        <w:t xml:space="preserve"> </w:t>
      </w:r>
      <w:r w:rsidRPr="004F0822">
        <w:rPr>
          <w:rFonts w:ascii="Garamond" w:eastAsia="Times New Roman" w:hAnsi="Garamond" w:cs="Courier New"/>
          <w:i/>
          <w:iCs/>
          <w:lang w:eastAsia="pt-BR"/>
        </w:rPr>
        <w:t>não conhecer do agravo</w:t>
      </w:r>
      <w:r w:rsidRPr="004F0822">
        <w:rPr>
          <w:rFonts w:ascii="Garamond" w:eastAsia="Times New Roman" w:hAnsi="Garamond" w:cs="Courier New"/>
          <w:b/>
          <w:bCs/>
          <w:i/>
          <w:iCs/>
          <w:lang w:eastAsia="pt-BR"/>
        </w:rPr>
        <w:t>,</w:t>
      </w:r>
      <w:r w:rsidRPr="004F0822">
        <w:rPr>
          <w:rFonts w:ascii="Garamond" w:eastAsia="Times New Roman" w:hAnsi="Garamond" w:cs="Courier New"/>
          <w:i/>
          <w:iCs/>
          <w:lang w:eastAsia="pt-BR"/>
        </w:rPr>
        <w:t xml:space="preserve"> nos termos do voto do relator.</w:t>
      </w:r>
    </w:p>
    <w:p w:rsidR="00345FE3" w:rsidRPr="004F0822" w:rsidRDefault="00345FE3" w:rsidP="00345FE3">
      <w:pPr>
        <w:spacing w:before="100" w:beforeAutospacing="1" w:after="100" w:afterAutospacing="1" w:line="450" w:lineRule="atLeast"/>
        <w:ind w:left="2880"/>
        <w:jc w:val="both"/>
        <w:rPr>
          <w:rFonts w:ascii="Garamond" w:eastAsia="Times New Roman" w:hAnsi="Garamond" w:cs="Courier New"/>
          <w:i/>
          <w:iCs/>
          <w:lang w:eastAsia="pt-BR"/>
        </w:rPr>
      </w:pPr>
      <w:r w:rsidRPr="004F0822">
        <w:rPr>
          <w:rFonts w:ascii="Garamond" w:eastAsia="Times New Roman" w:hAnsi="Garamond" w:cs="Courier New"/>
          <w:b/>
          <w:bCs/>
          <w:i/>
          <w:iCs/>
          <w:lang w:eastAsia="pt-BR"/>
        </w:rPr>
        <w:t>VOTARAM</w:t>
      </w:r>
      <w:r w:rsidRPr="004F0822">
        <w:rPr>
          <w:rFonts w:ascii="Garamond" w:eastAsia="Times New Roman" w:hAnsi="Garamond" w:cs="Courier New"/>
          <w:i/>
          <w:iCs/>
          <w:lang w:eastAsia="pt-BR"/>
        </w:rPr>
        <w:t xml:space="preserve"> com o relator os Desembargadores Beatriz Figueiredo Franco, Ney Teles de Paula, Leobino Valente Chaves, Gilberto Marques Filho, João Waldeck Felix de Sousa, Nelma Branco Ferreira Perilo. Kisleu Dias Maciel Filho, Amaral Wilson de Oliveira, Elizabeth Maria da Silva, Gerson Santana Cintra, Carmecy Rosa Maria Alves de Oliveira, Nicomedes Domingos Borges, Itamar de Lima, Sandra Regina Teodoro Reis, Olavo Junqueira de Andrade e Luiz Eduardo de Sousa (Substituto do Desembargador Carlos Escher).</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bCs/>
          <w:i/>
          <w:iCs/>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r w:rsidRPr="004F0822">
        <w:rPr>
          <w:rFonts w:ascii="Garamond" w:hAnsi="Garamond" w:cs="Courier New"/>
          <w:b/>
        </w:rPr>
        <w:t>DO EFEITO PROTELATÓRIO DO PRESENTE RECURSO</w:t>
      </w: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rPr>
      </w:pPr>
      <w:r w:rsidRPr="004F0822">
        <w:rPr>
          <w:rFonts w:ascii="Garamond" w:hAnsi="Garamond" w:cs="Courier New"/>
        </w:rPr>
        <w:t>O Superior Tribunal de Justiça definiu como protelatório todo recurso qual visa rediscutir decisão julgada, já em conformidade a Súmulas Vinculantes, e/ou jurisprudência praticada ao momento da decisão, neste sentido não há outra forma de se interprestar o presente recurso qual não seja de se prolongar discussão que não merece maior desgaste processual.</w:t>
      </w: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rPr>
      </w:pPr>
      <w:r w:rsidRPr="004F0822">
        <w:rPr>
          <w:rFonts w:ascii="Garamond" w:hAnsi="Garamond" w:cs="Courier New"/>
        </w:rPr>
        <w:t>Neste sentido a improcedência do mesmo é medida que se faz plausível em espeque ao Princípio da Economia Processual, bem como encontra guarida no artigo 1.026, § 2º, onde o legislador prevê que o Tribunal ou juiz, condene o embargante em multa de 2% sobre o valor atualizado da causa, assim desde já pugna a parte embargada pela autuação do embargante ao pagamento da multa prevista no novo Código de Processo Civil.</w:t>
      </w:r>
    </w:p>
    <w:p w:rsidR="00345FE3" w:rsidRPr="004F0822" w:rsidRDefault="00345FE3" w:rsidP="00345FE3">
      <w:pPr>
        <w:pStyle w:val="NormalWeb"/>
        <w:shd w:val="clear" w:color="auto" w:fill="FFFFFF"/>
        <w:spacing w:before="0" w:beforeAutospacing="0" w:after="120" w:afterAutospacing="0" w:line="320" w:lineRule="exact"/>
        <w:jc w:val="both"/>
        <w:rPr>
          <w:rFonts w:ascii="Garamond" w:hAnsi="Garamond" w:cs="Courier New"/>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Style w:val="Forte"/>
          <w:rFonts w:ascii="Garamond" w:hAnsi="Garamond" w:cs="Courier New"/>
          <w:color w:val="333333"/>
        </w:rPr>
      </w:pPr>
      <w:r w:rsidRPr="004F0822">
        <w:rPr>
          <w:rStyle w:val="Forte"/>
          <w:rFonts w:ascii="Garamond" w:hAnsi="Garamond" w:cs="Courier New"/>
          <w:color w:val="333333"/>
        </w:rPr>
        <w:t>DOS FATOS</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4F0822">
        <w:rPr>
          <w:rFonts w:ascii="Garamond" w:hAnsi="Garamond" w:cs="Courier New"/>
          <w:color w:val="333333"/>
        </w:rPr>
        <w:t>O Embargante sustenta que o Acórdão proferido, não abordou todos os pontos alegados pelo mesmo em sede de Recurso Extraordinário proposto, porém, não soube apontar, qual ponto restou omisso, ou obscuro, ou qual matéria deixou o Egrégio Tribunal de Justiça do Estado de Goiás de apreciar.</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4F0822">
        <w:rPr>
          <w:rFonts w:ascii="Garamond" w:hAnsi="Garamond" w:cs="Courier New"/>
          <w:color w:val="333333"/>
        </w:rPr>
        <w:t>Assim o artigo 1.023 do NCPC, é taxativo ao dizer que os embargos serão opostos, no prazo de 05 dias, com indicação do erro, obscuridade, contradição ou omissão, neste desiderato o ônus probatório recai sobre o embargante, devendo o mesmo proceder com apontamento da suposta “falha” cometida em sede da decisão judicial.</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4F0822">
        <w:rPr>
          <w:rFonts w:ascii="Garamond" w:hAnsi="Garamond" w:cs="Courier New"/>
          <w:color w:val="333333"/>
        </w:rPr>
        <w:t>Ademais, a matéria pleiteada pelo embargante desde sua exordial, não aborda outras alegações/fundamentações, quais não tenham sido apreciadas, analisadas e julgadas, caindo por terra qualquer alegação de que a decisão proferida não seja acertiva.</w:t>
      </w:r>
    </w:p>
    <w:p w:rsidR="00345FE3" w:rsidRPr="004F0822" w:rsidRDefault="00345FE3" w:rsidP="00345FE3">
      <w:pPr>
        <w:tabs>
          <w:tab w:val="left" w:pos="1701"/>
          <w:tab w:val="left" w:pos="2268"/>
        </w:tabs>
        <w:autoSpaceDE w:val="0"/>
        <w:autoSpaceDN w:val="0"/>
        <w:adjustRightInd w:val="0"/>
        <w:ind w:left="2260"/>
        <w:jc w:val="both"/>
        <w:rPr>
          <w:rFonts w:ascii="Garamond" w:hAnsi="Garamond" w:cs="Courier New"/>
          <w:i/>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rPr>
      </w:pPr>
      <w:r w:rsidRPr="004F0822">
        <w:rPr>
          <w:rFonts w:ascii="Garamond" w:hAnsi="Garamond" w:cs="Courier New"/>
        </w:rPr>
        <w:t>Sem razão o Recorrente! Eis a síntese processual.</w:t>
      </w:r>
    </w:p>
    <w:p w:rsidR="00345FE3" w:rsidRPr="004F0822" w:rsidRDefault="00345FE3" w:rsidP="00345FE3">
      <w:pPr>
        <w:tabs>
          <w:tab w:val="left" w:pos="1701"/>
          <w:tab w:val="left" w:pos="2268"/>
        </w:tabs>
        <w:autoSpaceDE w:val="0"/>
        <w:autoSpaceDN w:val="0"/>
        <w:adjustRightInd w:val="0"/>
        <w:jc w:val="both"/>
        <w:rPr>
          <w:rFonts w:ascii="Garamond" w:hAnsi="Garamond" w:cs="Courier New"/>
        </w:rPr>
      </w:pPr>
    </w:p>
    <w:p w:rsidR="00345FE3" w:rsidRPr="004F0822" w:rsidRDefault="00345FE3" w:rsidP="00345FE3">
      <w:pPr>
        <w:tabs>
          <w:tab w:val="left" w:pos="1701"/>
          <w:tab w:val="left" w:pos="2268"/>
        </w:tabs>
        <w:autoSpaceDE w:val="0"/>
        <w:autoSpaceDN w:val="0"/>
        <w:adjustRightInd w:val="0"/>
        <w:jc w:val="both"/>
        <w:rPr>
          <w:rFonts w:ascii="Garamond" w:hAnsi="Garamond" w:cs="Courier New"/>
        </w:rPr>
      </w:pPr>
      <w:r w:rsidRPr="004F0822">
        <w:rPr>
          <w:rFonts w:ascii="Garamond" w:hAnsi="Garamond" w:cs="Courier New"/>
        </w:rPr>
        <w:tab/>
      </w: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p>
    <w:p w:rsidR="00345FE3" w:rsidRPr="004F0822" w:rsidRDefault="00345FE3" w:rsidP="00345FE3">
      <w:pPr>
        <w:tabs>
          <w:tab w:val="left" w:pos="1701"/>
          <w:tab w:val="left" w:pos="2268"/>
        </w:tabs>
        <w:autoSpaceDE w:val="0"/>
        <w:autoSpaceDN w:val="0"/>
        <w:adjustRightInd w:val="0"/>
        <w:jc w:val="both"/>
        <w:rPr>
          <w:rFonts w:ascii="Garamond" w:hAnsi="Garamond" w:cs="Courier New"/>
        </w:rPr>
      </w:pP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r w:rsidRPr="004F0822">
        <w:rPr>
          <w:rFonts w:ascii="Garamond" w:hAnsi="Garamond" w:cs="Courier New"/>
          <w:b/>
        </w:rPr>
        <w:t>DO MÉRITO</w:t>
      </w:r>
    </w:p>
    <w:p w:rsidR="00345FE3" w:rsidRPr="004F0822" w:rsidRDefault="00345FE3" w:rsidP="00345FE3">
      <w:pPr>
        <w:tabs>
          <w:tab w:val="left" w:pos="1701"/>
          <w:tab w:val="left" w:pos="2268"/>
        </w:tabs>
        <w:autoSpaceDE w:val="0"/>
        <w:autoSpaceDN w:val="0"/>
        <w:adjustRightInd w:val="0"/>
        <w:ind w:firstLine="2268"/>
        <w:jc w:val="both"/>
        <w:rPr>
          <w:rFonts w:ascii="Garamond" w:hAnsi="Garamond" w:cs="Courier New"/>
          <w:b/>
        </w:rPr>
      </w:pPr>
    </w:p>
    <w:p w:rsidR="00345FE3" w:rsidRPr="004F0822" w:rsidRDefault="00345FE3" w:rsidP="00345FE3">
      <w:pPr>
        <w:pStyle w:val="NormalWeb"/>
        <w:ind w:firstLine="720"/>
        <w:jc w:val="both"/>
        <w:rPr>
          <w:rFonts w:ascii="Garamond" w:hAnsi="Garamond" w:cs="Courier New"/>
        </w:rPr>
      </w:pPr>
      <w:r w:rsidRPr="004F0822">
        <w:rPr>
          <w:rFonts w:ascii="Garamond" w:hAnsi="Garamond" w:cs="Courier New"/>
        </w:rPr>
        <w:t xml:space="preserve">           O mérito atacado é o julgamento de agravo interno de decisão que denegou Recurso Extraordinário, neste sentido Sustenta que, </w:t>
      </w:r>
      <w:r w:rsidRPr="004F0822">
        <w:rPr>
          <w:rFonts w:ascii="Garamond" w:hAnsi="Garamond" w:cs="Courier New"/>
          <w:i/>
          <w:iCs/>
        </w:rPr>
        <w:t>”ao deixar de remeter os autos para apreciac</w:t>
      </w:r>
      <w:r w:rsidRPr="004F0822">
        <w:rPr>
          <w:i/>
          <w:iCs/>
        </w:rPr>
        <w:t>̧</w:t>
      </w:r>
      <w:r w:rsidRPr="004F0822">
        <w:rPr>
          <w:rFonts w:ascii="Garamond" w:hAnsi="Garamond" w:cs="Courier New"/>
          <w:i/>
          <w:iCs/>
        </w:rPr>
        <w:t>ão do recurso extraordinário, o TJ GO usurpou a compete</w:t>
      </w:r>
      <w:r w:rsidRPr="004F0822">
        <w:rPr>
          <w:i/>
          <w:iCs/>
        </w:rPr>
        <w:t>̂</w:t>
      </w:r>
      <w:r w:rsidRPr="004F0822">
        <w:rPr>
          <w:rFonts w:ascii="Garamond" w:hAnsi="Garamond" w:cs="Courier New"/>
          <w:i/>
          <w:iCs/>
        </w:rPr>
        <w:t xml:space="preserve">ncia do STF. </w:t>
      </w:r>
    </w:p>
    <w:p w:rsidR="00345FE3" w:rsidRPr="004F0822" w:rsidRDefault="00345FE3" w:rsidP="00345FE3">
      <w:pPr>
        <w:spacing w:before="100" w:beforeAutospacing="1" w:after="100" w:afterAutospacing="1"/>
        <w:ind w:left="2160" w:firstLine="140"/>
        <w:jc w:val="both"/>
        <w:rPr>
          <w:rFonts w:ascii="Garamond" w:eastAsia="Times New Roman" w:hAnsi="Garamond" w:cs="Courier New"/>
          <w:lang w:eastAsia="pt-BR"/>
        </w:rPr>
      </w:pPr>
      <w:r w:rsidRPr="004F0822">
        <w:rPr>
          <w:rFonts w:ascii="Garamond" w:eastAsia="Times New Roman" w:hAnsi="Garamond" w:cs="Courier New"/>
          <w:i/>
          <w:iCs/>
          <w:lang w:eastAsia="pt-BR"/>
        </w:rPr>
        <w:t>“Ementa: AGRAVO REGIMENTAL NA RECLAMAC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PROCESSUAL CIVIL. APLICAC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DO ENTENDIMENTO DO SUPREMO TRIBUNAL FEDERAL FIRMADO EM SEDE DE REPERCUSSÃO GERAL NO TEMA 451. (CPC/2015, ART. 1.030, I). ALEGADA USURPAC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DA COMPETE</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NCIA DO SUPREMO TRIBUNAL FEDERAL. ALEGADA VIOLAC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À SÚMULA 727. INOCORRE</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NCIA. INADEQUAC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 xml:space="preserve">ÃO DO MEIO RECURSAL UTILIZADO, POR ADMISSÍVEL, NA ESPÉCIE, UNICAMENTE O RECURSO DE AGRAVO INTERNO (CPC/2015, ART. 1.030, § 2o). </w:t>
      </w:r>
      <w:r w:rsidRPr="004F0822">
        <w:rPr>
          <w:rFonts w:ascii="Garamond" w:eastAsia="Times New Roman" w:hAnsi="Garamond" w:cs="Courier New"/>
          <w:i/>
          <w:iCs/>
          <w:lang w:eastAsia="pt-BR"/>
        </w:rPr>
        <w:lastRenderedPageBreak/>
        <w:t xml:space="preserve">PRECEDENTES. AGRAVO REGIMENTAL DESPROVIDO” </w:t>
      </w:r>
      <w:r w:rsidRPr="004F0822">
        <w:rPr>
          <w:rFonts w:ascii="Garamond" w:eastAsia="Times New Roman" w:hAnsi="Garamond" w:cs="Courier New"/>
          <w:lang w:eastAsia="pt-BR"/>
        </w:rPr>
        <w:t>(Reclamac</w:t>
      </w:r>
      <w:r w:rsidRPr="004F0822">
        <w:rPr>
          <w:rFonts w:ascii="Times New Roman" w:eastAsia="Times New Roman" w:hAnsi="Times New Roman" w:cs="Times New Roman"/>
          <w:lang w:eastAsia="pt-BR"/>
        </w:rPr>
        <w:t>̧</w:t>
      </w:r>
      <w:r w:rsidRPr="004F0822">
        <w:rPr>
          <w:rFonts w:ascii="Garamond" w:eastAsia="Times New Roman" w:hAnsi="Garamond" w:cs="Courier New"/>
          <w:lang w:eastAsia="pt-BR"/>
        </w:rPr>
        <w:t xml:space="preserve">ão n. 29.491-AgR/SP, Relator o Ministro Luiz Fux, Primeira Turma, DJe 17.9.2018). </w:t>
      </w:r>
    </w:p>
    <w:p w:rsidR="00345FE3" w:rsidRPr="004F0822" w:rsidRDefault="00345FE3" w:rsidP="00345FE3">
      <w:pPr>
        <w:spacing w:before="100" w:beforeAutospacing="1" w:after="100" w:afterAutospacing="1"/>
        <w:jc w:val="both"/>
        <w:rPr>
          <w:rFonts w:ascii="Garamond" w:eastAsia="Times New Roman" w:hAnsi="Garamond" w:cs="Courier New"/>
          <w:lang w:eastAsia="pt-BR"/>
        </w:rPr>
      </w:pPr>
      <w:r w:rsidRPr="004F0822">
        <w:rPr>
          <w:rFonts w:ascii="Garamond" w:eastAsia="Times New Roman" w:hAnsi="Garamond" w:cs="Courier New"/>
          <w:lang w:eastAsia="pt-BR"/>
        </w:rPr>
        <w:t xml:space="preserve">                Inaplicável, assim, a Súmula 727 deste Supremo Tribunal ao caso dos autos. Nesse sentido: </w:t>
      </w:r>
    </w:p>
    <w:p w:rsidR="00345FE3" w:rsidRPr="004F0822" w:rsidRDefault="00345FE3" w:rsidP="00345FE3">
      <w:pPr>
        <w:spacing w:before="100" w:beforeAutospacing="1" w:after="100" w:afterAutospacing="1"/>
        <w:ind w:left="2300"/>
        <w:jc w:val="both"/>
        <w:rPr>
          <w:rFonts w:ascii="Garamond" w:eastAsia="Times New Roman" w:hAnsi="Garamond" w:cs="Courier New"/>
          <w:lang w:eastAsia="pt-BR"/>
        </w:rPr>
      </w:pPr>
      <w:r w:rsidRPr="004F0822">
        <w:rPr>
          <w:rFonts w:ascii="Garamond" w:eastAsia="Times New Roman" w:hAnsi="Garamond" w:cs="Courier New"/>
          <w:i/>
          <w:iCs/>
          <w:lang w:eastAsia="pt-BR"/>
        </w:rPr>
        <w:t>“Ementa: EMBARGOS DE DECLARAC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RECEBIDOS                  COMO AGRAVO INTERNO. RECLAMAC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RECURSO EXTRAORDINÁRIO COM SEGUIMENTO NEGADO NA ORIGEM. ATO JUDICIAL RECLAMADO AMPARADO EM PRECEDENTE DO STF FORMULADO SOB O RITO DA REPERCUSSÃO GERAL. INTERPOSIC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DE AGRAVO EM RECURSO EXTRAORDINÁRIO. IMPUGNAC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RECURSAL MANIFESTAMENTE INCABÍVEL. SÚMULA 727 DO STF. AFASTAMENTO NA ESPÉCIE. 1. O órgão julgador pode receber, como agravo interno, os embargos de declarac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que notoriamente visam a reformar a decisão monocrática do Relator, sendo desnecessária a intimac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do embargante para complementar suas razões quando o recurso, desde logo, exibir impugnac</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ão específica a todos os pontos da decisão embargada. Intelige</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ncia do art. 1.024, § 3o, do Código de Processo Civil de 2015. 2. Cabe agravo interno contra a decisão da insta</w:t>
      </w:r>
      <w:r w:rsidRPr="004F0822">
        <w:rPr>
          <w:rFonts w:ascii="Times New Roman" w:eastAsia="Times New Roman" w:hAnsi="Times New Roman" w:cs="Times New Roman"/>
          <w:i/>
          <w:iCs/>
          <w:lang w:eastAsia="pt-BR"/>
        </w:rPr>
        <w:t>̂</w:t>
      </w:r>
      <w:r w:rsidRPr="004F0822">
        <w:rPr>
          <w:rFonts w:ascii="Garamond" w:eastAsia="Times New Roman" w:hAnsi="Garamond" w:cs="Courier New"/>
          <w:i/>
          <w:iCs/>
          <w:lang w:eastAsia="pt-BR"/>
        </w:rPr>
        <w:t xml:space="preserve">ncia de origem que nega seguimento a recurso extraordinário com base em precedente do SUPREMO produzido sob o rito da repercussão geral (§ 2o do art. 1.030 do CPC). 3. O Juízo de origem não deve encaminhar ao SUPREMO o agravo da decisão que não admite recurso extraordinário com base em precedente formado. </w:t>
      </w:r>
      <w:r w:rsidRPr="004F0822">
        <w:rPr>
          <w:rFonts w:ascii="Garamond" w:eastAsia="Times New Roman" w:hAnsi="Garamond" w:cs="Courier New"/>
          <w:lang w:eastAsia="pt-BR"/>
        </w:rPr>
        <w:t>Documento assinado digitalmente conforme MP n° 2.200-2/2001 de 24/08/2001. O documento pode ser acessado pelo enderec</w:t>
      </w:r>
      <w:r w:rsidRPr="004F0822">
        <w:rPr>
          <w:rFonts w:ascii="Times New Roman" w:eastAsia="Times New Roman" w:hAnsi="Times New Roman" w:cs="Times New Roman"/>
          <w:lang w:eastAsia="pt-BR"/>
        </w:rPr>
        <w:t>̧</w:t>
      </w:r>
      <w:r w:rsidRPr="004F0822">
        <w:rPr>
          <w:rFonts w:ascii="Garamond" w:eastAsia="Times New Roman" w:hAnsi="Garamond" w:cs="Courier New"/>
          <w:lang w:eastAsia="pt-BR"/>
        </w:rPr>
        <w:t xml:space="preserve">o http://www.stf.jus.br/portal/autenticacao/autenticarDocumento.asp sob o código B5E5-3032-8370-CC34 e senha E595-DD5B-72FA-F745 </w:t>
      </w:r>
    </w:p>
    <w:p w:rsidR="00345FE3" w:rsidRPr="004F0822" w:rsidRDefault="00345FE3" w:rsidP="00345FE3">
      <w:pPr>
        <w:spacing w:before="100" w:beforeAutospacing="1" w:after="100" w:afterAutospacing="1"/>
        <w:ind w:firstLine="2268"/>
        <w:jc w:val="both"/>
        <w:rPr>
          <w:rFonts w:ascii="Garamond" w:eastAsia="Times New Roman" w:hAnsi="Garamond" w:cs="Courier New"/>
          <w:lang w:eastAsia="pt-BR"/>
        </w:rPr>
      </w:pPr>
      <w:r w:rsidRPr="004F0822">
        <w:rPr>
          <w:rFonts w:ascii="Garamond" w:eastAsia="Times New Roman" w:hAnsi="Garamond" w:cs="Courier New"/>
          <w:lang w:eastAsia="pt-BR"/>
        </w:rPr>
        <w:t>Por todo o exposto restam rechaçadas todas as alegações do Recorrente.</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b/>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b/>
        </w:rPr>
      </w:pPr>
      <w:r w:rsidRPr="004F0822">
        <w:rPr>
          <w:rFonts w:ascii="Garamond" w:hAnsi="Garamond" w:cs="Courier New"/>
          <w:b/>
        </w:rPr>
        <w:t>IV – DOS PEDIDOS</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b/>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4F0822">
        <w:rPr>
          <w:rFonts w:ascii="Garamond" w:hAnsi="Garamond" w:cs="Courier New"/>
        </w:rPr>
        <w:t xml:space="preserve">Isto posto, e por tudo mais que, com certeza, será suprido pela sapiência e senso de justiça desta nobre Presidência, o embargado roga a Vossa Excelência </w:t>
      </w:r>
      <w:r w:rsidRPr="004F0822">
        <w:rPr>
          <w:rFonts w:ascii="Garamond" w:hAnsi="Garamond" w:cs="Courier New"/>
          <w:bCs/>
        </w:rPr>
        <w:t>que os presentes Embargos, sejam negados, bem como o efeito infringente, postulando ainda a condenação de multa no tocante de 2% sobre o valor da causa atualizado.</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4F0822">
        <w:rPr>
          <w:rFonts w:ascii="Garamond" w:hAnsi="Garamond" w:cs="Courier New"/>
          <w:color w:val="333333"/>
        </w:rPr>
        <w:lastRenderedPageBreak/>
        <w:t>Nesses Termos,</w:t>
      </w:r>
    </w:p>
    <w:p w:rsidR="00345FE3" w:rsidRPr="004F0822" w:rsidRDefault="00345FE3" w:rsidP="00345FE3">
      <w:pPr>
        <w:pStyle w:val="NormalWeb"/>
        <w:shd w:val="clear" w:color="auto" w:fill="FFFFFF"/>
        <w:spacing w:before="0" w:beforeAutospacing="0" w:after="120" w:afterAutospacing="0" w:line="300" w:lineRule="exact"/>
        <w:ind w:firstLine="2268"/>
        <w:jc w:val="both"/>
        <w:rPr>
          <w:rFonts w:ascii="Garamond" w:hAnsi="Garamond" w:cs="Courier New"/>
          <w:color w:val="333333"/>
        </w:rPr>
      </w:pPr>
      <w:r w:rsidRPr="004F0822">
        <w:rPr>
          <w:rFonts w:ascii="Garamond" w:hAnsi="Garamond" w:cs="Courier New"/>
          <w:color w:val="333333"/>
        </w:rPr>
        <w:t>Pede Deferimento.</w:t>
      </w:r>
    </w:p>
    <w:p w:rsidR="00345FE3" w:rsidRPr="004F0822" w:rsidRDefault="00345FE3" w:rsidP="00345FE3">
      <w:pPr>
        <w:spacing w:after="120" w:line="300" w:lineRule="exact"/>
        <w:ind w:firstLine="2268"/>
        <w:jc w:val="both"/>
        <w:rPr>
          <w:rFonts w:ascii="Garamond" w:hAnsi="Garamond" w:cs="Courier New"/>
        </w:rPr>
      </w:pPr>
    </w:p>
    <w:p w:rsidR="00345FE3" w:rsidRPr="004F0822" w:rsidRDefault="00345FE3" w:rsidP="00345FE3">
      <w:pPr>
        <w:spacing w:after="120" w:line="300" w:lineRule="exact"/>
        <w:ind w:firstLine="2268"/>
        <w:jc w:val="both"/>
        <w:rPr>
          <w:rFonts w:ascii="Garamond" w:hAnsi="Garamond" w:cs="Courier New"/>
        </w:rPr>
      </w:pPr>
    </w:p>
    <w:p w:rsidR="00345FE3" w:rsidRPr="004F0822" w:rsidRDefault="00345FE3" w:rsidP="00345FE3">
      <w:pPr>
        <w:spacing w:after="120" w:line="300" w:lineRule="exact"/>
        <w:ind w:firstLine="2268"/>
        <w:jc w:val="both"/>
        <w:rPr>
          <w:rFonts w:ascii="Garamond" w:hAnsi="Garamond" w:cs="Courier New"/>
        </w:rPr>
      </w:pPr>
      <w:r w:rsidRPr="004F0822">
        <w:rPr>
          <w:rFonts w:ascii="Garamond" w:hAnsi="Garamond" w:cs="Courier New"/>
        </w:rPr>
        <w:t>Goiânia, 22 de maio de 2019.</w:t>
      </w:r>
    </w:p>
    <w:p w:rsidR="00345FE3" w:rsidRPr="004F0822" w:rsidRDefault="00345FE3" w:rsidP="00345FE3">
      <w:pPr>
        <w:spacing w:after="120" w:line="300" w:lineRule="exact"/>
        <w:ind w:firstLine="2268"/>
        <w:jc w:val="both"/>
        <w:rPr>
          <w:rFonts w:ascii="Garamond" w:hAnsi="Garamond" w:cs="Courier New"/>
        </w:rPr>
      </w:pPr>
    </w:p>
    <w:p w:rsidR="00345FE3" w:rsidRPr="004F0822" w:rsidRDefault="00345FE3" w:rsidP="00345FE3">
      <w:pPr>
        <w:spacing w:after="120" w:line="300" w:lineRule="exact"/>
        <w:ind w:firstLine="2268"/>
        <w:jc w:val="both"/>
        <w:rPr>
          <w:rFonts w:ascii="Garamond" w:hAnsi="Garamond" w:cs="Courier New"/>
        </w:rPr>
      </w:pPr>
    </w:p>
    <w:p w:rsidR="00345FE3" w:rsidRDefault="004F0822" w:rsidP="00345FE3">
      <w:pPr>
        <w:spacing w:after="120" w:line="300" w:lineRule="exact"/>
        <w:ind w:firstLine="2268"/>
        <w:jc w:val="both"/>
        <w:rPr>
          <w:rFonts w:ascii="Garamond" w:hAnsi="Garamond" w:cs="Courier New"/>
          <w:lang w:val="en-US"/>
        </w:rPr>
      </w:pPr>
      <w:r>
        <w:rPr>
          <w:rFonts w:ascii="Garamond" w:hAnsi="Garamond" w:cs="Courier New"/>
          <w:lang w:val="en-US"/>
        </w:rPr>
        <w:t>ADVOGADO</w:t>
      </w:r>
    </w:p>
    <w:p w:rsidR="004F0822" w:rsidRPr="004F0822" w:rsidRDefault="004F0822" w:rsidP="00345FE3">
      <w:pPr>
        <w:spacing w:after="120" w:line="300" w:lineRule="exact"/>
        <w:ind w:firstLine="2268"/>
        <w:jc w:val="both"/>
        <w:rPr>
          <w:rFonts w:ascii="Garamond" w:hAnsi="Garamond" w:cs="Courier New"/>
          <w:lang w:val="en-US"/>
        </w:rPr>
      </w:pPr>
      <w:r>
        <w:rPr>
          <w:rFonts w:ascii="Garamond" w:hAnsi="Garamond" w:cs="Courier New"/>
          <w:lang w:val="en-US"/>
        </w:rPr>
        <w:t>OAB GO Nº</w:t>
      </w:r>
      <w:bookmarkStart w:id="0" w:name="_GoBack"/>
      <w:bookmarkEnd w:id="0"/>
    </w:p>
    <w:p w:rsidR="00BA4A90" w:rsidRPr="004F0822" w:rsidRDefault="00BA4A90">
      <w:pPr>
        <w:rPr>
          <w:rFonts w:ascii="Garamond" w:hAnsi="Garamond"/>
          <w:lang w:val="en-US"/>
        </w:rPr>
      </w:pPr>
    </w:p>
    <w:sectPr w:rsidR="00BA4A90" w:rsidRPr="004F0822" w:rsidSect="00E0352D">
      <w:headerReference w:type="default" r:id="rId7"/>
      <w:pgSz w:w="11900" w:h="16840"/>
      <w:pgMar w:top="1701"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98F" w:rsidRDefault="0086098F" w:rsidP="004F0822">
      <w:r>
        <w:separator/>
      </w:r>
    </w:p>
  </w:endnote>
  <w:endnote w:type="continuationSeparator" w:id="0">
    <w:p w:rsidR="0086098F" w:rsidRDefault="0086098F" w:rsidP="004F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98F" w:rsidRDefault="0086098F" w:rsidP="004F0822">
      <w:r>
        <w:separator/>
      </w:r>
    </w:p>
  </w:footnote>
  <w:footnote w:type="continuationSeparator" w:id="0">
    <w:p w:rsidR="0086098F" w:rsidRDefault="0086098F" w:rsidP="004F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52D" w:rsidRPr="00E0352D" w:rsidRDefault="0086098F">
    <w:pPr>
      <w:pStyle w:val="Cabealho"/>
    </w:pPr>
    <w:sdt>
      <w:sdtPr>
        <w:id w:val="-1720892201"/>
        <w:docPartObj>
          <w:docPartGallery w:val="Page Numbers (Margins)"/>
          <w:docPartUnique/>
        </w:docPartObj>
      </w:sdtPr>
      <w:sdtEndPr/>
      <w:sdtContent>
        <w:r>
          <w:rPr>
            <w:noProof/>
            <w:lang w:eastAsia="pt-BR"/>
          </w:rPr>
          <mc:AlternateContent>
            <mc:Choice Requires="wps">
              <w:drawing>
                <wp:anchor distT="0" distB="0" distL="114300" distR="114300" simplePos="0" relativeHeight="251660288" behindDoc="0" locked="0" layoutInCell="0" allowOverlap="1" wp14:anchorId="1EA4BE56" wp14:editId="3126997F">
                  <wp:simplePos x="0" y="0"/>
                  <wp:positionH relativeFrom="rightMargin">
                    <wp:align>center</wp:align>
                  </wp:positionH>
                  <wp:positionV relativeFrom="margin">
                    <wp:align>bottom</wp:align>
                  </wp:positionV>
                  <wp:extent cx="510540" cy="2183130"/>
                  <wp:effectExtent l="0" t="0" r="3810" b="0"/>
                  <wp:wrapNone/>
                  <wp:docPr id="1"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09C0" w:rsidRDefault="0086098F">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cs="Times New Roman"/>
                                  <w:sz w:val="22"/>
                                  <w:szCs w:val="22"/>
                                </w:rPr>
                                <w:fldChar w:fldCharType="begin"/>
                              </w:r>
                              <w:r>
                                <w:instrText>PAGE    \* MERGEFORMAT</w:instrText>
                              </w:r>
                              <w:r>
                                <w:rPr>
                                  <w:rFonts w:cs="Times New Roman"/>
                                  <w:sz w:val="22"/>
                                  <w:szCs w:val="22"/>
                                </w:rPr>
                                <w:fldChar w:fldCharType="separate"/>
                              </w:r>
                              <w:r w:rsidRPr="002501B3">
                                <w:rPr>
                                  <w:rFonts w:asciiTheme="majorHAnsi" w:eastAsiaTheme="majorEastAsia" w:hAnsiTheme="majorHAnsi" w:cstheme="majorBidi"/>
                                  <w:noProof/>
                                  <w:sz w:val="44"/>
                                  <w:szCs w:val="44"/>
                                </w:rPr>
                                <w:t>7</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EA4BE56" id="Retângulo 1" o:spid="_x0000_s1026" style="position:absolute;margin-left:0;margin-top:0;width:40.2pt;height:171.9pt;z-index:25166028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" o:allowincell="f" filled="f" stroked="f">
                  <v:textbox style="layout-flow:vertical;mso-layout-flow-alt:bottom-to-top;mso-fit-shape-to-text:t">
                    <w:txbxContent>
                      <w:p w:rsidR="006909C0" w:rsidRDefault="0086098F">
                        <w:pPr>
                          <w:pStyle w:val="Rodap"/>
                          <w:rPr>
                            <w:rFonts w:asciiTheme="majorHAnsi" w:eastAsiaTheme="majorEastAsia" w:hAnsiTheme="majorHAnsi" w:cstheme="majorBidi"/>
                            <w:sz w:val="44"/>
                            <w:szCs w:val="44"/>
                          </w:rPr>
                        </w:pPr>
                        <w:r>
                          <w:rPr>
                            <w:rFonts w:asciiTheme="majorHAnsi" w:eastAsiaTheme="majorEastAsia" w:hAnsiTheme="majorHAnsi" w:cstheme="majorBidi"/>
                          </w:rPr>
                          <w:t>Página</w:t>
                        </w:r>
                        <w:r>
                          <w:rPr>
                            <w:rFonts w:cs="Times New Roman"/>
                            <w:sz w:val="22"/>
                            <w:szCs w:val="22"/>
                          </w:rPr>
                          <w:fldChar w:fldCharType="begin"/>
                        </w:r>
                        <w:r>
                          <w:instrText>PAGE    \* MERGEFORMAT</w:instrText>
                        </w:r>
                        <w:r>
                          <w:rPr>
                            <w:rFonts w:cs="Times New Roman"/>
                            <w:sz w:val="22"/>
                            <w:szCs w:val="22"/>
                          </w:rPr>
                          <w:fldChar w:fldCharType="separate"/>
                        </w:r>
                        <w:r w:rsidRPr="002501B3">
                          <w:rPr>
                            <w:rFonts w:asciiTheme="majorHAnsi" w:eastAsiaTheme="majorEastAsia" w:hAnsiTheme="majorHAnsi" w:cstheme="majorBidi"/>
                            <w:noProof/>
                            <w:sz w:val="44"/>
                            <w:szCs w:val="44"/>
                          </w:rPr>
                          <w:t>7</w:t>
                        </w:r>
                        <w:r>
                          <w:rPr>
                            <w:rFonts w:asciiTheme="majorHAnsi" w:eastAsiaTheme="majorEastAsia" w:hAnsiTheme="majorHAnsi" w:cstheme="majorBidi"/>
                            <w:sz w:val="44"/>
                            <w:szCs w:val="44"/>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A6D07"/>
    <w:multiLevelType w:val="hybridMultilevel"/>
    <w:tmpl w:val="01209E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E3"/>
    <w:rsid w:val="00345FE3"/>
    <w:rsid w:val="004F0822"/>
    <w:rsid w:val="0086098F"/>
    <w:rsid w:val="00A877BC"/>
    <w:rsid w:val="00BA4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566097A"/>
  <w15:chartTrackingRefBased/>
  <w15:docId w15:val="{05C5FE3C-49E2-7541-B385-3138DE8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E3"/>
    <w:rPr>
      <w:rFonts w:eastAsiaTheme="minorEastAs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45FE3"/>
    <w:pPr>
      <w:tabs>
        <w:tab w:val="center" w:pos="4320"/>
        <w:tab w:val="right" w:pos="8640"/>
      </w:tabs>
    </w:pPr>
  </w:style>
  <w:style w:type="character" w:customStyle="1" w:styleId="CabealhoChar">
    <w:name w:val="Cabeçalho Char"/>
    <w:basedOn w:val="Fontepargpadro"/>
    <w:link w:val="Cabealho"/>
    <w:uiPriority w:val="99"/>
    <w:rsid w:val="00345FE3"/>
    <w:rPr>
      <w:rFonts w:eastAsiaTheme="minorEastAsia"/>
    </w:rPr>
  </w:style>
  <w:style w:type="paragraph" w:styleId="Rodap">
    <w:name w:val="footer"/>
    <w:basedOn w:val="Normal"/>
    <w:link w:val="RodapChar"/>
    <w:uiPriority w:val="99"/>
    <w:unhideWhenUsed/>
    <w:rsid w:val="00345FE3"/>
    <w:pPr>
      <w:tabs>
        <w:tab w:val="center" w:pos="4320"/>
        <w:tab w:val="right" w:pos="8640"/>
      </w:tabs>
    </w:pPr>
  </w:style>
  <w:style w:type="character" w:customStyle="1" w:styleId="RodapChar">
    <w:name w:val="Rodapé Char"/>
    <w:basedOn w:val="Fontepargpadro"/>
    <w:link w:val="Rodap"/>
    <w:uiPriority w:val="99"/>
    <w:rsid w:val="00345FE3"/>
    <w:rPr>
      <w:rFonts w:eastAsiaTheme="minorEastAsia"/>
    </w:rPr>
  </w:style>
  <w:style w:type="paragraph" w:styleId="NormalWeb">
    <w:name w:val="Normal (Web)"/>
    <w:basedOn w:val="Normal"/>
    <w:uiPriority w:val="99"/>
    <w:unhideWhenUsed/>
    <w:rsid w:val="00345FE3"/>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345F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1056</Words>
  <Characters>5705</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2019-06-05T20:53:00Z</dcterms:created>
  <dcterms:modified xsi:type="dcterms:W3CDTF">2019-06-05T20:55:00Z</dcterms:modified>
</cp:coreProperties>
</file>