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 xml:space="preserve">EXCELENTÍSSIMO </w:t>
      </w:r>
      <w:r w:rsidR="00CE3B5E"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JUIZO DA __ª VARA DO TRABALHO DE ______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Autos nº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.... (nome da parte em negrito)</w:t>
      </w: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, já qualificada nos autos supra, de </w:t>
      </w:r>
      <w:r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RECLAMAÇÃO TRABALHISTA</w:t>
      </w: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, que move ...., igualmente já qualificado, por seus procuradores e advogados infra-assinados, vem, respeitosamente, perante V. Exa., apresentar </w:t>
      </w:r>
      <w:r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AGRAVO DE PETIÇÃO</w:t>
      </w: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, conforme razões em anexo.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Requer seja o mesmo encaminhado ao Egrégio Tribunal Regional do Trabalho da .... Região, para apreciação.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CE3B5E">
        <w:rPr>
          <w:rFonts w:ascii="Garamond" w:hAnsi="Garamond" w:cs="Tahoma"/>
          <w:spacing w:val="2"/>
        </w:rPr>
        <w:t xml:space="preserve">Nestes termos, </w:t>
      </w:r>
    </w:p>
    <w:p w:rsidR="00542AD4" w:rsidRPr="00CE3B5E" w:rsidRDefault="00542AD4" w:rsidP="00CE3B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E3B5E">
        <w:rPr>
          <w:rFonts w:ascii="Garamond" w:hAnsi="Garamond" w:cs="Tahoma"/>
          <w:spacing w:val="2"/>
        </w:rPr>
        <w:t>pede e espera deferimento.</w:t>
      </w:r>
    </w:p>
    <w:p w:rsidR="00542AD4" w:rsidRPr="00CE3B5E" w:rsidRDefault="00542AD4" w:rsidP="00CE3B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E3B5E">
        <w:rPr>
          <w:rFonts w:ascii="Garamond" w:hAnsi="Garamond" w:cs="Tahoma"/>
          <w:spacing w:val="2"/>
        </w:rPr>
        <w:t>... (Município – UF), ... (dia) de ... (mês) de ... (ano).</w:t>
      </w:r>
    </w:p>
    <w:p w:rsidR="00542AD4" w:rsidRPr="00CE3B5E" w:rsidRDefault="00542AD4" w:rsidP="00CE3B5E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42AD4" w:rsidRPr="00CE3B5E" w:rsidRDefault="00542AD4" w:rsidP="00CE3B5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E3B5E">
        <w:rPr>
          <w:rFonts w:ascii="Garamond" w:hAnsi="Garamond" w:cs="Tahoma"/>
          <w:b/>
          <w:sz w:val="24"/>
          <w:szCs w:val="24"/>
        </w:rPr>
        <w:t>ADVOGADO</w:t>
      </w:r>
    </w:p>
    <w:p w:rsidR="00542AD4" w:rsidRPr="00CE3B5E" w:rsidRDefault="00542AD4" w:rsidP="00CE3B5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E3B5E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542AD4" w:rsidRPr="00CE3B5E" w:rsidRDefault="00542AD4" w:rsidP="00CE3B5E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bookmarkStart w:id="2" w:name="_GoBack"/>
      <w:bookmarkEnd w:id="2"/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EGRÉGIO TRIBUNAL REGIONAL DO TRABALHO DA .... REGIÃO DE .... - ESTADO DO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RAZÕES DE AGRAVO DE PETIÇÃO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Autos nº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Agravante: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Agravado: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EMÉRITOS JULGADORES: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Inconformada com a respeitável decisão de fls. .... e verso, que acolheu o pedido de adjudicação dos bens penhorados nos autos e levados a leilão em .... de .... de ...., vem a Reclamada agravar a decisão prolatada.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Ao deferir a adjudicação, o MM. Juiz "a quo" agiu em desconformidade com os dispositivos legais, uma vez que os credores deveriam ter concorrido no leilão e não ter solicitado a adjudicação somente após o encerramento do mesmo.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A propósito, podemos assinalar, que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inocorreu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concomitância entre o leilão e o momento de apresentação do pedido de adjudicação formulado pelos Reclamantes, arrolados nos autos sob nº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 xml:space="preserve">Tendo em vista que o pedido dos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exeqüentes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, às fls. ...., se deu somente após o término do leilão, e não na forma mencionada pelo MM. Juiz de 1º Grau, ou seja, concomitantemente à oferta do único lance apresentado.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Assiste razão à Execução, pois o pedido de adjudicação do bem sequer ocorreu simultaneamente ao lance, uma vez que o mesmo se deu após o encerramento do leilão, o que se constata inclusive pela falta de estipulação quanto ao pagamento da comissão do leiloeiro.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O ato do Juízo da Execução em 1º Grau, quando deferiu a adjudicação do bem aos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exeqüentes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com a inclusão de Reclamantes de outros processos, apresenta-se em desconformidade ao que foi requerido às fls. ...., dos presentes autos, constituindo, portanto, decisão "extra petita".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Convém ressaltar ainda, que o leilão do qual resultou a adjudicação foi realizado somente nos presentes autos, bem como o requerimento, solicitando a adjudicação, faz referência única e exclusivamente aos presentes autos. 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No entanto, ao deferir o pedido de adjudicação nos autos sob nº ...., o MM. Juiz do 1º Grau o fez também nos autos de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nºs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Senão vejamos: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left="226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"2. Defiro a adjudicação pelo valor dos créditos de todos os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exeqüentes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, no importe de R$ .... (....), eis que superior até a avaliação do imóvel."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Conforme se verifica na conta de atualização às fls. ...., onde constam somente os créditos dos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exeqüentes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que figuram no processo sob nº ...., que são em número de .... (....), cujo valor devido é equivalente à R$ .... (....) em data de .../.../...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 xml:space="preserve">Entretanto, na r. decisão do MM. Juiz "a quo", às fls. ...., dos autos supra mencionados, constam os créditos trabalhistas dos autos acima citados, e não somente do processo "in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casu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", importando o valor principal em R$ .... (....).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Vale dizer, portanto, que a decisão foi "extra petita", pois não podia o MM. Juiz ter incluído outros autos nos presentes, para deferir a adjudicação, uma vez que o leilão era referente somente à Execução dos autos nº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Com efeito, dispõe o art. 128 do Código de Processo Civil, que: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left="226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"O juiz decidirá a lide nos limites em que foi proposta, sendo-lhe defeso conhecer de questões, não suscitadas, a cujo respeito a lei exige a iniciativa das partes."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Essa norma conjuga-se com a contida no art. 460, do mesmo Código, segundo a qual: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left="226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"É defeso ao juiz proferir sentença, a favor do autor, de natureza diversa da pedida, bem como condenar o réu em quantidade superior ou em objeto diverso do que lhe foi demandado."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De ambos os preceitos decorre princípio da adstrição, segundo o qual a sentença não pode fugir dos fatos e fundamentos jurídicos expostos pela parte autora tampouco extrapolar o pedido.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Na petição de fls., os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exeqüentes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requereram a adjudicação do bem, nos Autos de nº ...., no entanto, o MM. Juiz "a quo" deferiu a mesma estendendo-a aos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exeqüentes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dos Autos de </w:t>
      </w: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nºs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...., .... e ....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>Há que se ponderar ainda, V. Exa., que a Executada não foi intimada pessoalmente na realização do leilão o que dá ensejo a um dos vícios da praça.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O posicionamento do Supremo Tribunal de Justiça, a respeito da intimação, assim tem se manifestado: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left="226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left="226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"A arrematação na Execução, constitui o ato mais importante do processo, eis que, é através dela que o devedor decai da propriedade de seu imóvel, mediante a alienação forçada. E como deve ser intimado pessoalmente para ciência inequívoca do dia e hora de sua realização. No conceito de intimação pessoal deve-se entender que o devedor, para a intimação, há de ser procurado no local onde efetivamente reside e não em qualquer outro, para que se não configure uma ciência por intermediação de pessoa." (STJ, RE 36.383-7-SP Demócrito Reinaldo, Reg. 93.0018059-2). (GN)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Evidentemente, o executado tem interesse em tomar ciência do dia em que será realizado o leilão sendo injustificado o argumento de que poderá tomar ciência da mesma pela publicação do edital; essa espécie de comunicação se admite para a parte que estiver em lugar incerto. O que não ocorre no presente caso.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proofErr w:type="spellStart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Indubitalmente</w:t>
      </w:r>
      <w:proofErr w:type="spellEnd"/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, presumir ciência da parte da publicidade do edital ofende o direito de defesa, a realidade da vida, o princípio do contraditório e publicidade dos autos processuais à parte.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Há que se ressaltar, ainda, que a avaliação apresenta-se profundamente distanciada dos valores praticados no mercado imobiliário.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 r. decisão agravada não pode prevalecer em benefício da execução e até da própria economia da Executada.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CE3B5E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Por tudo o ora exposto e do mais que dos autos consta, requer que esse Egrégio Tribunal julgue procedente o Agravo de Instrumento ora interposto, para, ao final, reformar a decisão de 1º Grau, com a decretação da nulidade da adjudicação, por ser medida de inteira JUSTIÇA.</w:t>
      </w:r>
    </w:p>
    <w:p w:rsidR="00542AD4" w:rsidRPr="00CE3B5E" w:rsidRDefault="00542AD4" w:rsidP="00CE3B5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CE3B5E" w:rsidRDefault="00542AD4" w:rsidP="00CE3B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E3B5E">
        <w:rPr>
          <w:rFonts w:ascii="Garamond" w:hAnsi="Garamond" w:cs="Tahoma"/>
          <w:spacing w:val="2"/>
        </w:rPr>
        <w:t xml:space="preserve">Nestes termos, </w:t>
      </w:r>
    </w:p>
    <w:p w:rsidR="00542AD4" w:rsidRPr="00CE3B5E" w:rsidRDefault="00542AD4" w:rsidP="00CE3B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E3B5E">
        <w:rPr>
          <w:rFonts w:ascii="Garamond" w:hAnsi="Garamond" w:cs="Tahoma"/>
          <w:spacing w:val="2"/>
        </w:rPr>
        <w:t>pede e espera deferimento.</w:t>
      </w:r>
    </w:p>
    <w:p w:rsidR="00542AD4" w:rsidRPr="00CE3B5E" w:rsidRDefault="00542AD4" w:rsidP="00CE3B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E3B5E">
        <w:rPr>
          <w:rFonts w:ascii="Garamond" w:hAnsi="Garamond" w:cs="Tahoma"/>
          <w:spacing w:val="2"/>
        </w:rPr>
        <w:t>... (Município – UF), ... (dia) de ... (mês) de ... (ano).</w:t>
      </w:r>
    </w:p>
    <w:p w:rsidR="00542AD4" w:rsidRPr="00CE3B5E" w:rsidRDefault="00542AD4" w:rsidP="00CE3B5E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42AD4" w:rsidRPr="00CE3B5E" w:rsidRDefault="00542AD4" w:rsidP="00CE3B5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E3B5E">
        <w:rPr>
          <w:rFonts w:ascii="Garamond" w:hAnsi="Garamond" w:cs="Tahoma"/>
          <w:b/>
          <w:sz w:val="24"/>
          <w:szCs w:val="24"/>
        </w:rPr>
        <w:t>ADVOGADO</w:t>
      </w:r>
    </w:p>
    <w:p w:rsidR="00542AD4" w:rsidRPr="00CE3B5E" w:rsidRDefault="00542AD4" w:rsidP="00CE3B5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E3B5E">
        <w:rPr>
          <w:rFonts w:ascii="Garamond" w:hAnsi="Garamond" w:cs="Tahoma"/>
          <w:sz w:val="24"/>
          <w:szCs w:val="24"/>
        </w:rPr>
        <w:t>OAB n° .... - UF</w:t>
      </w:r>
    </w:p>
    <w:p w:rsidR="00542AD4" w:rsidRPr="00CE3B5E" w:rsidRDefault="00542AD4" w:rsidP="00CE3B5E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B97B4B" w:rsidRPr="00CE3B5E" w:rsidRDefault="00B97B4B" w:rsidP="00CE3B5E">
      <w:pPr>
        <w:spacing w:line="360" w:lineRule="auto"/>
        <w:rPr>
          <w:rFonts w:ascii="Garamond" w:hAnsi="Garamond" w:cs="Tahoma"/>
          <w:sz w:val="24"/>
          <w:szCs w:val="24"/>
        </w:rPr>
      </w:pPr>
    </w:p>
    <w:sectPr w:rsidR="00B97B4B" w:rsidRPr="00CE3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D4"/>
    <w:rsid w:val="00542AD4"/>
    <w:rsid w:val="00B97B4B"/>
    <w:rsid w:val="00C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242F"/>
  <w15:chartTrackingRefBased/>
  <w15:docId w15:val="{9BA7040E-84F9-41C1-B210-F16B4128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2017-05-26T22:27:00Z</dcterms:created>
  <dcterms:modified xsi:type="dcterms:W3CDTF">2019-06-10T22:47:00Z</dcterms:modified>
</cp:coreProperties>
</file>