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42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b/>
          <w:color w:val="000000" w:themeColor="text1"/>
          <w:sz w:val="24"/>
          <w:szCs w:val="24"/>
        </w:rPr>
        <w:t xml:space="preserve">EXCELENTÍSSIMO SENHOR DESEMBARGADOR PRESIDENTE DO EGRÉGIO TRIBUNAL DE JUSTIÇA DO ESTADO 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b/>
          <w:color w:val="000000" w:themeColor="text1"/>
          <w:sz w:val="24"/>
          <w:szCs w:val="24"/>
        </w:rPr>
        <w:t>.</w:t>
      </w:r>
    </w:p>
    <w:p w:rsidR="003D4568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3D4568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3D4568" w:rsidRPr="003D4568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11B42" w:rsidRPr="003D4568" w:rsidRDefault="00111B42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111B42" w:rsidRDefault="00111B42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José, brasileiro, casado, funcionário público, titular de carteira de identidade RG nº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, inscrito no CPF sob o nº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, residente e domiciliado no endereço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, CIDADE/ESTADO, CEP: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>, atualmente recolhido na Cadeia Pública, vem respeitosamente, à presença de Vossa Excelência, por intermédio do seu advogado, conforme procuração em anexo, propor a presente:</w:t>
      </w:r>
    </w:p>
    <w:p w:rsidR="003D4568" w:rsidRPr="003D4568" w:rsidRDefault="003D4568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111B42" w:rsidRPr="003D4568" w:rsidRDefault="00111B42" w:rsidP="003D4568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b/>
          <w:bCs/>
          <w:color w:val="000000" w:themeColor="text1"/>
          <w:sz w:val="24"/>
          <w:szCs w:val="24"/>
        </w:rPr>
        <w:t>REVISÃO CRIMINAL</w:t>
      </w:r>
    </w:p>
    <w:p w:rsidR="00111B42" w:rsidRDefault="00111B42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Contra a decisão condenatória proferida pelo MM. Juiz da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 Vara Criminal da Comarca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>, com fulcro no art. </w:t>
      </w:r>
      <w:hyperlink r:id="rId5" w:tooltip="Artigo 621 do Decreto Lei nº 3.689 de 03 de Outubro de 1941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621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6" w:tooltip="Inciso III do Artigo 621 do Decreto Lei nº 3.689 de 03 de Outubro de 1941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7" w:tooltip="Decreto-lei nº 3.689, de 3 de outubro de 1941.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 pelos seguintes motivos:</w:t>
      </w:r>
    </w:p>
    <w:p w:rsidR="003D4568" w:rsidRPr="003D4568" w:rsidRDefault="003D4568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111B42" w:rsidRPr="003D4568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b/>
          <w:color w:val="000000" w:themeColor="text1"/>
          <w:sz w:val="24"/>
          <w:szCs w:val="24"/>
        </w:rPr>
        <w:t>DOS FATOS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Em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>, o réu foi condenado pela prática do crime de tortura tipificado na Lei nº </w:t>
      </w:r>
      <w:hyperlink r:id="rId8" w:tooltip="Lei nº 9.455, de 7 de abril de 1997.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9.455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/97, art. </w:t>
      </w:r>
      <w:hyperlink r:id="rId9" w:tooltip="Artigo 1 da Lei nº 9.455 de 07 de Abril de 1997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1º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0" w:tooltip="Inciso II do Artigo 1 da Lei nº 9.455 de 07 de Abril de 1997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1" w:tooltip="Parágrafo 4 Artigo 1 da Lei nº 9.455 de 07 de Abril de 1997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4º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2" w:tooltip="Inciso I do Parágrafo 4 do Artigo 1 da Lei nº 9.455 de 07 de Abril de 1997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, ao cumprimento da pena de 3 (três) anos de reclusão, mais a perda da função pública. Tal condenação teve incidência, naquele dia </w:t>
      </w:r>
      <w:r w:rsidR="003D4568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3D4568">
        <w:rPr>
          <w:rFonts w:ascii="Tahoma" w:hAnsi="Tahoma" w:cs="Tahoma"/>
          <w:color w:val="000000" w:themeColor="text1"/>
          <w:sz w:val="24"/>
          <w:szCs w:val="24"/>
        </w:rPr>
        <w:t>, o réu estava trabalhando no presídio, quando ocorrera inesperadamente uma rebelião. E por ordem de um superior o réu imobilizou dois detentos aos quais estavam muito agitados, com ataduras de pano, tendo no conforme dos cuidados para não machucá-los.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Após, o lapso temporal de uma hora e meia o réu soltou os detentos e foram submetidos à exame de corpo de delito que fora apurado no laudo lesão bem leve, sendo essas causadas pela própria movimentação dos presos.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Mas, os detentos disseram que foram torturados, pelo réu, e sendo assim diante dos fatos, houve a instauração do processo e a condenação pelo crime de tortura.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O réu encontra-se preso na Cadeia Pública sob o cumprimento da pena aplicada pela r. Sentença a qual transitou em julgado.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Posteriormente, um dos detentos fora posto em liberdade, soube do ocorrido como o réu procura seus familiares, relatando toda a verdade ao qual alega em uma justificativa criminal que fora obrigado à mentir, porque o outro detento não gosta do réu e por esse motivo inventou a história.</w:t>
      </w:r>
    </w:p>
    <w:p w:rsidR="00111B42" w:rsidRPr="003D4568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b/>
          <w:color w:val="000000" w:themeColor="text1"/>
          <w:sz w:val="24"/>
          <w:szCs w:val="24"/>
        </w:rPr>
        <w:lastRenderedPageBreak/>
        <w:t>DO DIREITO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O processo supracitado que culminou com a condenação do </w:t>
      </w:r>
      <w:proofErr w:type="spellStart"/>
      <w:r w:rsidRPr="003D4568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 pela prática do crime de tortura. Deve-se mencionar que houve um erro ao qual acarretou na restrição de liberdade do réu e a perda da função pública.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Eis que fora devido numa justificação criminal o </w:t>
      </w:r>
      <w:proofErr w:type="spellStart"/>
      <w:r w:rsidRPr="003D4568">
        <w:rPr>
          <w:rFonts w:ascii="Tahoma" w:hAnsi="Tahoma" w:cs="Tahoma"/>
          <w:color w:val="000000" w:themeColor="text1"/>
          <w:sz w:val="24"/>
          <w:szCs w:val="24"/>
        </w:rPr>
        <w:t>ex</w:t>
      </w:r>
      <w:proofErr w:type="spellEnd"/>
      <w:r w:rsidRPr="003D4568">
        <w:rPr>
          <w:rFonts w:ascii="Tahoma" w:hAnsi="Tahoma" w:cs="Tahoma"/>
          <w:color w:val="000000" w:themeColor="text1"/>
          <w:sz w:val="24"/>
          <w:szCs w:val="24"/>
        </w:rPr>
        <w:t>- detento declarando que fora obrigado à mentir por ordem do outro detento pelo motivo simples e peculiar (não gostar da pessoa do réu), ao qual acarretou ao Poder Judiciário à prática de um erro, imputando e condenando, um inocente à prática de um crime. Conforme nos leciona os doutrinadores Victor e Alexandre: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iCs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iCs/>
          <w:color w:val="000000" w:themeColor="text1"/>
          <w:sz w:val="24"/>
          <w:szCs w:val="24"/>
        </w:rPr>
        <w:t xml:space="preserve">Para </w:t>
      </w:r>
      <w:proofErr w:type="spellStart"/>
      <w:r w:rsidRPr="003D4568">
        <w:rPr>
          <w:rFonts w:ascii="Tahoma" w:hAnsi="Tahoma" w:cs="Tahoma"/>
          <w:iCs/>
          <w:color w:val="000000" w:themeColor="text1"/>
          <w:sz w:val="24"/>
          <w:szCs w:val="24"/>
        </w:rPr>
        <w:t>preconstituir</w:t>
      </w:r>
      <w:proofErr w:type="spellEnd"/>
      <w:r w:rsidRPr="003D4568">
        <w:rPr>
          <w:rFonts w:ascii="Tahoma" w:hAnsi="Tahoma" w:cs="Tahoma"/>
          <w:iCs/>
          <w:color w:val="000000" w:themeColor="text1"/>
          <w:sz w:val="24"/>
          <w:szCs w:val="24"/>
        </w:rPr>
        <w:t xml:space="preserve"> prova testemunhal poderá o interessado valer-se da justificação, procedimento cautelar preparatório, colhendo depoimentos junto ao juízo de primeiro grau - o mesmo onde foi proferida a sentença.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Ressalta-se por uma falha houve o cometimento de um erro e tal condenação gerou graves consequências à vida do réu, no mais sua perda da função pública.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No que tange, a nova prova traga aos autos, esclarece a falha na época cometida.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O </w:t>
      </w:r>
      <w:hyperlink r:id="rId13" w:tooltip="Decreto-lei nº 3.689, de 3 de outubro de 1941.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 é claro e nítido que se ocorrer a condenação e a sentença transitar em julgado, sendo de tal conduta da condenação, condenou um inocente, as novas provas descobertas que inocentam o réu, tais deverão serem tragas e apreciadas pelo douto magistrado. Conforme leciona os doutrinadores Victor Eduardo e Alexandre </w:t>
      </w:r>
      <w:proofErr w:type="spellStart"/>
      <w:r w:rsidRPr="003D4568">
        <w:rPr>
          <w:rFonts w:ascii="Tahoma" w:hAnsi="Tahoma" w:cs="Tahoma"/>
          <w:color w:val="000000" w:themeColor="text1"/>
          <w:sz w:val="24"/>
          <w:szCs w:val="24"/>
        </w:rPr>
        <w:t>Cebrian</w:t>
      </w:r>
      <w:proofErr w:type="spellEnd"/>
      <w:r w:rsidRPr="003D4568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111B42" w:rsidRPr="003D4568" w:rsidRDefault="00111B42" w:rsidP="003D4568">
      <w:pPr>
        <w:ind w:left="2268"/>
        <w:jc w:val="both"/>
        <w:rPr>
          <w:rFonts w:ascii="Tahoma" w:hAnsi="Tahoma" w:cs="Tahoma"/>
          <w:iCs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iCs/>
          <w:color w:val="000000" w:themeColor="text1"/>
          <w:sz w:val="24"/>
          <w:szCs w:val="24"/>
        </w:rPr>
        <w:t xml:space="preserve">A prova de inocência ou de circunstância favorável ao acusado também deve ser </w:t>
      </w:r>
      <w:proofErr w:type="spellStart"/>
      <w:r w:rsidRPr="003D4568">
        <w:rPr>
          <w:rFonts w:ascii="Tahoma" w:hAnsi="Tahoma" w:cs="Tahoma"/>
          <w:iCs/>
          <w:color w:val="000000" w:themeColor="text1"/>
          <w:sz w:val="24"/>
          <w:szCs w:val="24"/>
        </w:rPr>
        <w:t>preconstituída</w:t>
      </w:r>
      <w:proofErr w:type="spellEnd"/>
      <w:r w:rsidRPr="003D4568">
        <w:rPr>
          <w:rFonts w:ascii="Tahoma" w:hAnsi="Tahoma" w:cs="Tahoma"/>
          <w:iCs/>
          <w:color w:val="000000" w:themeColor="text1"/>
          <w:sz w:val="24"/>
          <w:szCs w:val="24"/>
        </w:rPr>
        <w:t>.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Demonstrado a inocência do réu diante da justificação criminal anexada nos autos, em face da r. Sentença condenatória proferida pelo MM. Juiz, em desfavor do </w:t>
      </w:r>
      <w:proofErr w:type="spellStart"/>
      <w:r w:rsidRPr="003D4568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 pela prática do crime de tortura, que fica caracterizado da presente ação de revisão criminal para que seja totalmente concedido a absolvição do réu nos termos do art. </w:t>
      </w:r>
      <w:hyperlink r:id="rId14" w:tooltip="Artigo 626 do Decreto Lei nº 3.689 de 03 de Outubro de 1941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626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5" w:tooltip="Decreto-lei nº 3.689, de 3 de outubro de 1941.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111B42" w:rsidRPr="003D4568" w:rsidRDefault="00111B42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111B42" w:rsidRPr="003D4568" w:rsidRDefault="003D4568" w:rsidP="003D45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b/>
          <w:color w:val="000000" w:themeColor="text1"/>
          <w:sz w:val="24"/>
          <w:szCs w:val="24"/>
        </w:rPr>
        <w:t>DOS PEDIDOS</w:t>
      </w:r>
    </w:p>
    <w:p w:rsidR="00111B42" w:rsidRPr="003D4568" w:rsidRDefault="00111B42" w:rsidP="003D45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Diante do exposto, postula-se seja:</w:t>
      </w:r>
    </w:p>
    <w:p w:rsidR="00111B42" w:rsidRPr="003D4568" w:rsidRDefault="00111B42" w:rsidP="003D4568">
      <w:pPr>
        <w:pStyle w:val="PargrafodaLista"/>
        <w:numPr>
          <w:ilvl w:val="0"/>
          <w:numId w:val="1"/>
        </w:num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Deferido o presente Pedido Revisional, com fulcro no art. </w:t>
      </w:r>
      <w:hyperlink r:id="rId16" w:tooltip="Artigo 626 do Decreto Lei nº 3.689 de 03 de Outubro de 1941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626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 "2º parte" do </w:t>
      </w:r>
      <w:hyperlink r:id="rId17" w:tooltip="Decreto-lei nº 3.689, de 3 de outubro de 1941.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;</w:t>
      </w:r>
    </w:p>
    <w:p w:rsidR="00111B42" w:rsidRPr="003D4568" w:rsidRDefault="00111B42" w:rsidP="003D4568">
      <w:pPr>
        <w:pStyle w:val="PargrafodaLista"/>
        <w:numPr>
          <w:ilvl w:val="0"/>
          <w:numId w:val="1"/>
        </w:num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Decretando-se a absolvição do </w:t>
      </w:r>
      <w:proofErr w:type="spellStart"/>
      <w:r w:rsidRPr="003D4568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3D4568">
        <w:rPr>
          <w:rFonts w:ascii="Tahoma" w:hAnsi="Tahoma" w:cs="Tahoma"/>
          <w:color w:val="000000" w:themeColor="text1"/>
          <w:sz w:val="24"/>
          <w:szCs w:val="24"/>
        </w:rPr>
        <w:t xml:space="preserve"> José com base no art. </w:t>
      </w:r>
      <w:hyperlink r:id="rId18" w:tooltip="Artigo 386 do Decreto Lei nº 3.689 de 03 de Outubro de 1941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386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9" w:tooltip="Inciso II do Artigo 386 do Decreto Lei nº 3.689 de 03 de Outubro de 1941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20" w:tooltip="Decreto-lei nº 3.689, de 3 de outubro de 1941." w:history="1">
        <w:r w:rsidRPr="003D4568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3D4568">
        <w:rPr>
          <w:rFonts w:ascii="Tahoma" w:hAnsi="Tahoma" w:cs="Tahoma"/>
          <w:color w:val="000000" w:themeColor="text1"/>
          <w:sz w:val="24"/>
          <w:szCs w:val="24"/>
        </w:rPr>
        <w:t>;</w:t>
      </w:r>
    </w:p>
    <w:p w:rsidR="00111B42" w:rsidRPr="003D4568" w:rsidRDefault="00111B42" w:rsidP="003D4568">
      <w:pPr>
        <w:pStyle w:val="PargrafodaLista"/>
        <w:numPr>
          <w:ilvl w:val="0"/>
          <w:numId w:val="1"/>
        </w:num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t>A expedição do competente alvará de soltura em seu favor;</w:t>
      </w:r>
    </w:p>
    <w:p w:rsidR="00111B42" w:rsidRPr="003D4568" w:rsidRDefault="00111B42" w:rsidP="003D4568">
      <w:pPr>
        <w:pStyle w:val="PargrafodaLista"/>
        <w:numPr>
          <w:ilvl w:val="0"/>
          <w:numId w:val="1"/>
        </w:num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3D4568">
        <w:rPr>
          <w:rFonts w:ascii="Tahoma" w:hAnsi="Tahoma" w:cs="Tahoma"/>
          <w:color w:val="000000" w:themeColor="text1"/>
          <w:sz w:val="24"/>
          <w:szCs w:val="24"/>
        </w:rPr>
        <w:lastRenderedPageBreak/>
        <w:t>A expedição de certidão negativa de antecedentes criminais, como medida de mais lídima justiça.</w:t>
      </w:r>
    </w:p>
    <w:p w:rsidR="003D4568" w:rsidRDefault="003D4568" w:rsidP="003D456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1" w:name="_Hlk482881190"/>
      <w:bookmarkStart w:id="2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3D4568" w:rsidRPr="007A0BCF" w:rsidRDefault="003D4568" w:rsidP="003D456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3D4568" w:rsidRPr="007A0BCF" w:rsidRDefault="003D4568" w:rsidP="003D456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3D4568" w:rsidRPr="003A5C74" w:rsidRDefault="003D4568" w:rsidP="003D4568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3D4568" w:rsidRPr="00114B12" w:rsidRDefault="003D4568" w:rsidP="003D4568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3D4568" w:rsidRPr="00114B12" w:rsidRDefault="003D4568" w:rsidP="003D4568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1"/>
    <w:p w:rsidR="003D4568" w:rsidRPr="00114B12" w:rsidRDefault="003D4568" w:rsidP="003D4568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2"/>
    <w:p w:rsidR="00B97B4B" w:rsidRPr="003D4568" w:rsidRDefault="00B97B4B" w:rsidP="003D45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B97B4B" w:rsidRPr="003D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F3B"/>
    <w:multiLevelType w:val="hybridMultilevel"/>
    <w:tmpl w:val="B164CA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2"/>
    <w:rsid w:val="00021EA6"/>
    <w:rsid w:val="00111B42"/>
    <w:rsid w:val="00132DEC"/>
    <w:rsid w:val="00221159"/>
    <w:rsid w:val="00284765"/>
    <w:rsid w:val="002853E1"/>
    <w:rsid w:val="002C34A6"/>
    <w:rsid w:val="003C126B"/>
    <w:rsid w:val="003D4568"/>
    <w:rsid w:val="003D4D7D"/>
    <w:rsid w:val="0040083C"/>
    <w:rsid w:val="004A0B9C"/>
    <w:rsid w:val="005125EC"/>
    <w:rsid w:val="00557EE6"/>
    <w:rsid w:val="00570C17"/>
    <w:rsid w:val="005869EC"/>
    <w:rsid w:val="005A3E07"/>
    <w:rsid w:val="00736297"/>
    <w:rsid w:val="00761EBF"/>
    <w:rsid w:val="007A3A2B"/>
    <w:rsid w:val="00925A8A"/>
    <w:rsid w:val="009750F0"/>
    <w:rsid w:val="0099191B"/>
    <w:rsid w:val="009F684B"/>
    <w:rsid w:val="00AC58CD"/>
    <w:rsid w:val="00B107FE"/>
    <w:rsid w:val="00B11642"/>
    <w:rsid w:val="00B9488D"/>
    <w:rsid w:val="00B97B4B"/>
    <w:rsid w:val="00EA3CE4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70FB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D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94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66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5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484/lei-de-tortura-lei-9455-97" TargetMode="External"/><Relationship Id="rId13" Type="http://schemas.openxmlformats.org/officeDocument/2006/relationships/hyperlink" Target="http://www.jusbrasil.com.br/legislacao/1028351/c%C3%B3digo-processo-penal-decreto-lei-3689-41" TargetMode="External"/><Relationship Id="rId18" Type="http://schemas.openxmlformats.org/officeDocument/2006/relationships/hyperlink" Target="http://www.jusbrasil.com.br/topicos/10643765/artigo-386-do-decreto-lei-n-3689-de-03-de-outubro-de-194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jusbrasil.com.br/legislacao/1028351/c%C3%B3digo-processo-penal-decreto-lei-3689-41" TargetMode="External"/><Relationship Id="rId12" Type="http://schemas.openxmlformats.org/officeDocument/2006/relationships/hyperlink" Target="http://www.jusbrasil.com.br/topicos/11277611/inciso-i-do-par%C3%A1grafo-4-do-artigo-1-da-lei-n-9455-de-07-de-abril-de-1997" TargetMode="External"/><Relationship Id="rId17" Type="http://schemas.openxmlformats.org/officeDocument/2006/relationships/hyperlink" Target="http://www.jusbrasil.com.br/legislacao/1028351/c%C3%B3digo-processo-penal-decreto-lei-3689-4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0613355/artigo-626-do-decreto-lei-n-3689-de-03-de-outubro-de-1941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14072/inciso-iii-do-artigo-621-do-decreto-lei-n-3689-de-03-de-outubro-de-1941" TargetMode="External"/><Relationship Id="rId11" Type="http://schemas.openxmlformats.org/officeDocument/2006/relationships/hyperlink" Target="http://www.jusbrasil.com.br/topicos/11277644/par%C3%A1grafo-4-artigo-1-da-lei-n-9455-de-07-de-abril-de-1997" TargetMode="External"/><Relationship Id="rId5" Type="http://schemas.openxmlformats.org/officeDocument/2006/relationships/hyperlink" Target="http://www.jusbrasil.com.br/topicos/10614199/artigo-621-do-decreto-lei-n-3689-de-03-de-outubro-de-1941" TargetMode="External"/><Relationship Id="rId15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topicos/11277752/inciso-ii-do-artigo-1-da-lei-n-9455-de-07-de-abril-de-1997" TargetMode="External"/><Relationship Id="rId19" Type="http://schemas.openxmlformats.org/officeDocument/2006/relationships/hyperlink" Target="http://www.jusbrasil.com.br/topicos/10643694/inciso-ii-do-artigo-386-do-decreto-lei-n-3689-de-03-de-outubro-de-1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1277889/artigo-1-da-lei-n-9455-de-07-de-abril-de-1997" TargetMode="External"/><Relationship Id="rId14" Type="http://schemas.openxmlformats.org/officeDocument/2006/relationships/hyperlink" Target="http://www.jusbrasil.com.br/topicos/10613355/artigo-626-do-decreto-lei-n-3689-de-03-de-outubro-de-19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1109</Words>
  <Characters>5992</Characters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2017-05-22T01:34:00Z</dcterms:created>
  <dcterms:modified xsi:type="dcterms:W3CDTF">2017-05-23T00:46:00Z</dcterms:modified>
</cp:coreProperties>
</file>