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auto"/>
        <w:ind w:firstLine="560" w:firstLineChars="200"/>
        <w:jc w:val="right"/>
        <w:rPr>
          <w:sz w:val="28"/>
        </w:rPr>
      </w:pPr>
      <w:bookmarkStart w:id="0" w:name="_Hlk59195671"/>
    </w:p>
    <w:p>
      <w:pPr>
        <w:spacing w:before="480" w:line="360" w:lineRule="auto"/>
        <w:jc w:val="center"/>
        <w:rPr>
          <w:rFonts w:eastAsia="楷体_GB2312"/>
          <w:b/>
          <w:sz w:val="36"/>
        </w:rPr>
      </w:pPr>
      <w:r>
        <w:rPr>
          <w:rFonts w:hint="eastAsia" w:eastAsia="楷体_GB2312"/>
          <w:b/>
          <w:sz w:val="36"/>
        </w:rPr>
        <w:t>北京航空航天大学计算机学院</w:t>
      </w:r>
    </w:p>
    <w:p>
      <w:pPr>
        <w:spacing w:before="240" w:line="360" w:lineRule="auto"/>
        <w:ind w:firstLine="480" w:firstLineChars="200"/>
        <w:jc w:val="center"/>
        <w:rPr>
          <w:sz w:val="24"/>
        </w:rPr>
      </w:pPr>
    </w:p>
    <w:p>
      <w:pPr>
        <w:spacing w:before="240" w:line="360" w:lineRule="auto"/>
        <w:jc w:val="center"/>
        <w:rPr>
          <w:rFonts w:eastAsia="黑体"/>
          <w:b/>
          <w:sz w:val="52"/>
        </w:rPr>
      </w:pPr>
      <w:r>
        <w:rPr>
          <w:rFonts w:hint="eastAsia" w:eastAsia="黑体"/>
          <w:b/>
          <w:sz w:val="52"/>
        </w:rPr>
        <w:t>学士学位论文</w:t>
      </w:r>
      <w:r>
        <w:rPr>
          <w:rFonts w:hint="eastAsia" w:eastAsia="黑体"/>
          <w:b/>
          <w:sz w:val="52"/>
          <w:lang w:val="en-US" w:eastAsia="zh-CN"/>
        </w:rPr>
        <w:t>中期</w:t>
      </w:r>
      <w:r>
        <w:rPr>
          <w:rFonts w:hint="eastAsia" w:eastAsia="黑体"/>
          <w:b/>
          <w:sz w:val="52"/>
        </w:rPr>
        <w:t>报告</w:t>
      </w:r>
    </w:p>
    <w:p>
      <w:pPr>
        <w:spacing w:before="240" w:line="360" w:lineRule="auto"/>
        <w:ind w:firstLine="640" w:firstLineChars="200"/>
        <w:jc w:val="center"/>
        <w:rPr>
          <w:sz w:val="32"/>
        </w:rPr>
      </w:pPr>
    </w:p>
    <w:p>
      <w:pPr>
        <w:spacing w:before="240" w:line="360" w:lineRule="auto"/>
        <w:rPr>
          <w:sz w:val="44"/>
        </w:rPr>
      </w:pPr>
    </w:p>
    <w:p>
      <w:pPr>
        <w:spacing w:line="360" w:lineRule="auto"/>
        <w:ind w:left="1429" w:leftChars="250" w:hanging="904" w:hangingChars="300"/>
        <w:rPr>
          <w:rFonts w:hint="eastAsia" w:eastAsia="楷体_GB2312"/>
          <w:sz w:val="30"/>
        </w:rPr>
      </w:pPr>
      <w:r>
        <w:rPr>
          <w:rFonts w:hint="eastAsia" w:eastAsia="楷体_GB2312"/>
          <w:b/>
          <w:sz w:val="30"/>
        </w:rPr>
        <w:t>论文题目</w:t>
      </w:r>
      <w:r>
        <w:rPr>
          <w:rFonts w:hint="eastAsia" w:eastAsia="楷体_GB2312"/>
          <w:sz w:val="30"/>
        </w:rPr>
        <w:t>：基于操作场引导的虚拟对象协同操作方法的设计与实现</w:t>
      </w:r>
    </w:p>
    <w:p>
      <w:pPr>
        <w:spacing w:line="360" w:lineRule="auto"/>
        <w:ind w:firstLine="602" w:firstLineChars="200"/>
        <w:rPr>
          <w:rFonts w:eastAsia="楷体_GB2312"/>
          <w:sz w:val="30"/>
        </w:rPr>
      </w:pPr>
      <w:bookmarkStart w:id="66" w:name="_GoBack"/>
      <w:bookmarkEnd w:id="66"/>
      <w:r>
        <w:rPr>
          <w:rFonts w:hint="eastAsia" w:eastAsia="楷体_GB2312"/>
          <w:b/>
          <w:sz w:val="30"/>
        </w:rPr>
        <w:t>专    业</w:t>
      </w:r>
      <w:r>
        <w:rPr>
          <w:rFonts w:hint="eastAsia" w:eastAsia="楷体_GB2312"/>
          <w:sz w:val="30"/>
        </w:rPr>
        <w:t>：计算机科学与技术</w:t>
      </w:r>
    </w:p>
    <w:p>
      <w:pPr>
        <w:spacing w:line="360" w:lineRule="auto"/>
        <w:ind w:firstLine="602" w:firstLineChars="200"/>
        <w:rPr>
          <w:rFonts w:eastAsia="楷体_GB2312"/>
          <w:sz w:val="30"/>
        </w:rPr>
      </w:pPr>
      <w:r>
        <w:rPr>
          <w:rFonts w:hint="eastAsia" w:eastAsia="楷体_GB2312"/>
          <w:b/>
          <w:sz w:val="30"/>
        </w:rPr>
        <w:t xml:space="preserve">学  </w:t>
      </w:r>
      <w:r>
        <w:rPr>
          <w:rFonts w:eastAsia="楷体_GB2312"/>
          <w:b/>
          <w:sz w:val="30"/>
        </w:rPr>
        <w:t xml:space="preserve"> </w:t>
      </w:r>
      <w:r>
        <w:rPr>
          <w:rFonts w:hint="eastAsia" w:eastAsia="楷体_GB2312"/>
          <w:b/>
          <w:sz w:val="30"/>
        </w:rPr>
        <w:t xml:space="preserve"> 生</w:t>
      </w:r>
      <w:r>
        <w:rPr>
          <w:rFonts w:hint="eastAsia" w:eastAsia="楷体_GB2312"/>
          <w:sz w:val="30"/>
        </w:rPr>
        <w:t>：栾帅</w:t>
      </w:r>
    </w:p>
    <w:p>
      <w:pPr>
        <w:spacing w:line="360" w:lineRule="auto"/>
        <w:ind w:firstLine="602" w:firstLineChars="200"/>
        <w:rPr>
          <w:rFonts w:eastAsia="楷体_GB2312"/>
          <w:sz w:val="30"/>
        </w:rPr>
      </w:pPr>
      <w:r>
        <w:rPr>
          <w:rFonts w:hint="eastAsia" w:eastAsia="楷体_GB2312"/>
          <w:b/>
          <w:sz w:val="30"/>
        </w:rPr>
        <w:t>学    号</w:t>
      </w:r>
      <w:r>
        <w:rPr>
          <w:rFonts w:hint="eastAsia" w:eastAsia="楷体_GB2312"/>
          <w:sz w:val="30"/>
        </w:rPr>
        <w:t>：18373298</w:t>
      </w:r>
    </w:p>
    <w:p>
      <w:pPr>
        <w:spacing w:line="360" w:lineRule="auto"/>
        <w:ind w:firstLine="602" w:firstLineChars="200"/>
        <w:rPr>
          <w:rFonts w:eastAsia="楷体_GB2312"/>
          <w:sz w:val="44"/>
        </w:rPr>
      </w:pPr>
      <w:r>
        <w:rPr>
          <w:rFonts w:hint="eastAsia" w:eastAsia="楷体_GB2312"/>
          <w:b/>
          <w:sz w:val="30"/>
        </w:rPr>
        <w:t>指导教师</w:t>
      </w:r>
      <w:r>
        <w:rPr>
          <w:rFonts w:hint="eastAsia" w:eastAsia="楷体_GB2312"/>
          <w:sz w:val="30"/>
        </w:rPr>
        <w:t>：王莉莉</w:t>
      </w:r>
    </w:p>
    <w:p>
      <w:pPr>
        <w:spacing w:before="240" w:line="360" w:lineRule="auto"/>
        <w:ind w:firstLine="880" w:firstLineChars="200"/>
        <w:jc w:val="center"/>
        <w:rPr>
          <w:sz w:val="44"/>
        </w:rPr>
      </w:pPr>
    </w:p>
    <w:p>
      <w:pPr>
        <w:spacing w:before="240" w:line="360" w:lineRule="auto"/>
        <w:ind w:firstLine="880" w:firstLineChars="200"/>
        <w:jc w:val="center"/>
        <w:rPr>
          <w:sz w:val="44"/>
        </w:rPr>
      </w:pPr>
    </w:p>
    <w:p>
      <w:pPr>
        <w:spacing w:before="240" w:line="360" w:lineRule="auto"/>
        <w:ind w:firstLine="880" w:firstLineChars="200"/>
        <w:jc w:val="center"/>
        <w:rPr>
          <w:sz w:val="44"/>
        </w:rPr>
      </w:pPr>
    </w:p>
    <w:p>
      <w:pPr>
        <w:spacing w:line="360" w:lineRule="auto"/>
        <w:ind w:firstLine="643" w:firstLineChars="200"/>
        <w:jc w:val="center"/>
        <w:rPr>
          <w:rFonts w:eastAsia="黑体"/>
          <w:b/>
          <w:sz w:val="32"/>
        </w:rPr>
      </w:pPr>
      <w:r>
        <w:rPr>
          <w:rFonts w:hint="eastAsia" w:eastAsia="黑体"/>
          <w:b/>
          <w:sz w:val="32"/>
        </w:rPr>
        <w:t>北京航空航天大学计算机学院</w:t>
      </w:r>
    </w:p>
    <w:p>
      <w:pPr>
        <w:spacing w:before="240" w:line="360" w:lineRule="auto"/>
        <w:ind w:firstLine="600" w:firstLineChars="200"/>
        <w:jc w:val="center"/>
        <w:rPr>
          <w:rFonts w:ascii="宋体" w:hAnsi="宋体"/>
          <w:sz w:val="30"/>
        </w:rPr>
        <w:sectPr>
          <w:headerReference r:id="rId4" w:type="first"/>
          <w:footerReference r:id="rId6" w:type="first"/>
          <w:headerReference r:id="rId3" w:type="default"/>
          <w:footerReference r:id="rId5" w:type="default"/>
          <w:pgSz w:w="11906" w:h="16838"/>
          <w:pgMar w:top="1134" w:right="1134" w:bottom="1418" w:left="1134" w:header="1588" w:footer="1588" w:gutter="0"/>
          <w:cols w:space="425" w:num="1"/>
          <w:titlePg/>
          <w:docGrid w:type="lines" w:linePitch="326" w:charSpace="0"/>
        </w:sectPr>
      </w:pPr>
      <w:r>
        <w:rPr>
          <w:rFonts w:hint="eastAsia" w:eastAsia="黑体"/>
          <w:sz w:val="30"/>
        </w:rPr>
        <w:t>20</w:t>
      </w:r>
      <w:r>
        <w:rPr>
          <w:rFonts w:eastAsia="黑体"/>
          <w:sz w:val="30"/>
        </w:rPr>
        <w:t>22</w:t>
      </w:r>
      <w:r>
        <w:rPr>
          <w:rFonts w:hint="eastAsia" w:eastAsia="黑体"/>
          <w:sz w:val="30"/>
        </w:rPr>
        <w:t>年</w:t>
      </w:r>
      <w:r>
        <w:rPr>
          <w:rFonts w:eastAsia="黑体"/>
          <w:sz w:val="30"/>
        </w:rPr>
        <w:t>03</w:t>
      </w:r>
      <w:r>
        <w:rPr>
          <w:rFonts w:hint="eastAsia" w:eastAsia="黑体"/>
          <w:sz w:val="30"/>
        </w:rPr>
        <w:t>月</w:t>
      </w:r>
      <w:r>
        <w:rPr>
          <w:rFonts w:eastAsia="黑体"/>
          <w:sz w:val="30"/>
        </w:rPr>
        <w:t>03</w:t>
      </w:r>
      <w:r>
        <w:rPr>
          <w:rFonts w:hint="eastAsia" w:eastAsia="黑体"/>
          <w:sz w:val="30"/>
        </w:rPr>
        <w:t>日</w:t>
      </w:r>
      <w:bookmarkEnd w:id="0"/>
    </w:p>
    <w:p>
      <w:pPr>
        <w:spacing w:before="240" w:line="360" w:lineRule="auto"/>
        <w:ind w:firstLine="480" w:firstLineChars="200"/>
        <w:jc w:val="left"/>
        <w:rPr>
          <w:rFonts w:ascii="宋体" w:hAnsi="宋体"/>
          <w:sz w:val="24"/>
        </w:rPr>
        <w:sectPr>
          <w:type w:val="continuous"/>
          <w:pgSz w:w="11906" w:h="16838"/>
          <w:pgMar w:top="1928" w:right="1797" w:bottom="1928" w:left="1797" w:header="1588" w:footer="1588" w:gutter="0"/>
          <w:cols w:space="425" w:num="1"/>
          <w:titlePg/>
          <w:docGrid w:type="lines" w:linePitch="326" w:charSpace="0"/>
        </w:sectPr>
      </w:pPr>
    </w:p>
    <w:sdt>
      <w:sdtPr>
        <w:rPr>
          <w:rFonts w:ascii="Times New Roman" w:hAnsi="Times New Roman" w:eastAsia="宋体" w:cs="Times New Roman"/>
          <w:color w:val="auto"/>
          <w:kern w:val="2"/>
          <w:sz w:val="21"/>
          <w:szCs w:val="20"/>
          <w:lang w:val="zh-CN"/>
        </w:rPr>
        <w:id w:val="1843743591"/>
        <w:docPartObj>
          <w:docPartGallery w:val="Table of Contents"/>
          <w:docPartUnique/>
        </w:docPartObj>
      </w:sdtPr>
      <w:sdtEndPr>
        <w:rPr>
          <w:rFonts w:ascii="Times New Roman" w:hAnsi="Times New Roman" w:eastAsia="宋体" w:cs="Times New Roman"/>
          <w:b/>
          <w:bCs/>
          <w:color w:val="auto"/>
          <w:kern w:val="2"/>
          <w:sz w:val="21"/>
          <w:szCs w:val="20"/>
          <w:lang w:val="zh-CN"/>
        </w:rPr>
      </w:sdtEndPr>
      <w:sdtContent>
        <w:p>
          <w:pPr>
            <w:pStyle w:val="28"/>
            <w:spacing w:line="360" w:lineRule="auto"/>
            <w:jc w:val="center"/>
            <w:rPr>
              <w:rFonts w:ascii="宋体" w:hAnsi="宋体" w:eastAsia="宋体"/>
              <w:color w:val="000000" w:themeColor="text1"/>
              <w14:textFill>
                <w14:solidFill>
                  <w14:schemeClr w14:val="tx1"/>
                </w14:solidFill>
              </w14:textFill>
            </w:rPr>
          </w:pPr>
          <w:bookmarkStart w:id="1" w:name="_Toc91583389"/>
          <w:r>
            <w:rPr>
              <w:rFonts w:ascii="宋体" w:hAnsi="宋体" w:eastAsia="宋体"/>
              <w:color w:val="000000" w:themeColor="text1"/>
              <w:lang w:val="zh-CN"/>
              <w14:textFill>
                <w14:solidFill>
                  <w14:schemeClr w14:val="tx1"/>
                </w14:solidFill>
              </w14:textFill>
            </w:rPr>
            <w:t>目</w:t>
          </w:r>
          <w:r>
            <w:rPr>
              <w:rFonts w:hint="eastAsia" w:ascii="宋体" w:hAnsi="宋体" w:eastAsia="宋体"/>
              <w:color w:val="000000" w:themeColor="text1"/>
              <w:lang w:val="zh-CN"/>
              <w14:textFill>
                <w14:solidFill>
                  <w14:schemeClr w14:val="tx1"/>
                </w14:solidFill>
              </w14:textFill>
            </w:rPr>
            <w:t xml:space="preserve"> </w:t>
          </w:r>
          <w:r>
            <w:rPr>
              <w:rFonts w:ascii="宋体" w:hAnsi="宋体" w:eastAsia="宋体"/>
              <w:color w:val="000000" w:themeColor="text1"/>
              <w:lang w:val="zh-CN"/>
              <w14:textFill>
                <w14:solidFill>
                  <w14:schemeClr w14:val="tx1"/>
                </w14:solidFill>
              </w14:textFill>
            </w:rPr>
            <w:t>录</w:t>
          </w:r>
        </w:p>
        <w:p>
          <w:pPr>
            <w:pStyle w:val="12"/>
            <w:tabs>
              <w:tab w:val="right" w:leader="dot" w:pos="9070"/>
            </w:tabs>
          </w:pPr>
          <w:r>
            <w:fldChar w:fldCharType="begin"/>
          </w:r>
          <w:r>
            <w:instrText xml:space="preserve"> TOC \o "1-3" \h \z \u </w:instrText>
          </w:r>
          <w:r>
            <w:fldChar w:fldCharType="separate"/>
          </w:r>
          <w:r>
            <w:fldChar w:fldCharType="begin"/>
          </w:r>
          <w:r>
            <w:instrText xml:space="preserve"> HYPERLINK \l _Toc20439 </w:instrText>
          </w:r>
          <w:r>
            <w:fldChar w:fldCharType="separate"/>
          </w:r>
          <w:r>
            <w:t>1. 论文选题的背景与意义</w:t>
          </w:r>
          <w:r>
            <w:tab/>
          </w:r>
          <w:r>
            <w:fldChar w:fldCharType="begin"/>
          </w:r>
          <w:r>
            <w:instrText xml:space="preserve"> PAGEREF _Toc20439 \h </w:instrText>
          </w:r>
          <w:r>
            <w:fldChar w:fldCharType="separate"/>
          </w:r>
          <w:r>
            <w:t>1</w:t>
          </w:r>
          <w:r>
            <w:fldChar w:fldCharType="end"/>
          </w:r>
          <w:r>
            <w:fldChar w:fldCharType="end"/>
          </w:r>
        </w:p>
        <w:p>
          <w:pPr>
            <w:pStyle w:val="12"/>
            <w:tabs>
              <w:tab w:val="right" w:leader="dot" w:pos="9070"/>
            </w:tabs>
          </w:pPr>
          <w:r>
            <w:rPr>
              <w:bCs/>
              <w:lang w:val="zh-CN"/>
            </w:rPr>
            <w:fldChar w:fldCharType="begin"/>
          </w:r>
          <w:r>
            <w:rPr>
              <w:bCs/>
              <w:lang w:val="zh-CN"/>
            </w:rPr>
            <w:instrText xml:space="preserve"> HYPERLINK \l _Toc28794 </w:instrText>
          </w:r>
          <w:r>
            <w:rPr>
              <w:bCs/>
              <w:lang w:val="zh-CN"/>
            </w:rPr>
            <w:fldChar w:fldCharType="separate"/>
          </w:r>
          <w:r>
            <w:t>2. 国内外研究现状</w:t>
          </w:r>
          <w:r>
            <w:tab/>
          </w:r>
          <w:r>
            <w:fldChar w:fldCharType="begin"/>
          </w:r>
          <w:r>
            <w:instrText xml:space="preserve"> PAGEREF _Toc28794 \h </w:instrText>
          </w:r>
          <w:r>
            <w:fldChar w:fldCharType="separate"/>
          </w:r>
          <w:r>
            <w:t>3</w:t>
          </w:r>
          <w:r>
            <w:fldChar w:fldCharType="end"/>
          </w:r>
          <w:r>
            <w:rPr>
              <w:bCs/>
              <w:lang w:val="zh-CN"/>
            </w:rPr>
            <w:fldChar w:fldCharType="end"/>
          </w:r>
        </w:p>
        <w:p>
          <w:pPr>
            <w:pStyle w:val="12"/>
            <w:tabs>
              <w:tab w:val="right" w:leader="dot" w:pos="9070"/>
            </w:tabs>
          </w:pPr>
          <w:r>
            <w:rPr>
              <w:bCs/>
              <w:lang w:val="zh-CN"/>
            </w:rPr>
            <w:fldChar w:fldCharType="begin"/>
          </w:r>
          <w:r>
            <w:rPr>
              <w:bCs/>
              <w:lang w:val="zh-CN"/>
            </w:rPr>
            <w:instrText xml:space="preserve"> HYPERLINK \l _Toc18225 </w:instrText>
          </w:r>
          <w:r>
            <w:rPr>
              <w:bCs/>
              <w:lang w:val="zh-CN"/>
            </w:rPr>
            <w:fldChar w:fldCharType="separate"/>
          </w:r>
          <w:r>
            <w:t>3. 论文的研究内容</w:t>
          </w:r>
          <w:r>
            <w:rPr>
              <w:rFonts w:hint="eastAsia"/>
            </w:rPr>
            <w:t>与已完成的工作</w:t>
          </w:r>
          <w:r>
            <w:tab/>
          </w:r>
          <w:r>
            <w:fldChar w:fldCharType="begin"/>
          </w:r>
          <w:r>
            <w:instrText xml:space="preserve"> PAGEREF _Toc18225 \h </w:instrText>
          </w:r>
          <w:r>
            <w:fldChar w:fldCharType="separate"/>
          </w:r>
          <w:r>
            <w:t>8</w:t>
          </w:r>
          <w:r>
            <w:fldChar w:fldCharType="end"/>
          </w:r>
          <w:r>
            <w:rPr>
              <w:bCs/>
              <w:lang w:val="zh-CN"/>
            </w:rPr>
            <w:fldChar w:fldCharType="end"/>
          </w:r>
        </w:p>
        <w:p>
          <w:pPr>
            <w:pStyle w:val="14"/>
            <w:tabs>
              <w:tab w:val="right" w:leader="dot" w:pos="9070"/>
              <w:tab w:val="clear" w:pos="1050"/>
              <w:tab w:val="clear" w:pos="9060"/>
            </w:tabs>
          </w:pPr>
          <w:r>
            <w:rPr>
              <w:bCs/>
              <w:lang w:val="zh-CN"/>
            </w:rPr>
            <w:fldChar w:fldCharType="begin"/>
          </w:r>
          <w:r>
            <w:rPr>
              <w:bCs/>
              <w:lang w:val="zh-CN"/>
            </w:rPr>
            <w:instrText xml:space="preserve"> HYPERLINK \l _Toc23833 </w:instrText>
          </w:r>
          <w:r>
            <w:rPr>
              <w:bCs/>
              <w:lang w:val="zh-CN"/>
            </w:rPr>
            <w:fldChar w:fldCharType="separate"/>
          </w:r>
          <w:r>
            <w:rPr>
              <w:rFonts w:hint="eastAsia"/>
            </w:rPr>
            <w:t>3</w:t>
          </w:r>
          <w:r>
            <w:t xml:space="preserve">.1 </w:t>
          </w:r>
          <w:r>
            <w:rPr>
              <w:rFonts w:hint="eastAsia"/>
            </w:rPr>
            <w:t>研究内容</w:t>
          </w:r>
          <w:r>
            <w:tab/>
          </w:r>
          <w:r>
            <w:fldChar w:fldCharType="begin"/>
          </w:r>
          <w:r>
            <w:instrText xml:space="preserve"> PAGEREF _Toc23833 \h </w:instrText>
          </w:r>
          <w:r>
            <w:fldChar w:fldCharType="separate"/>
          </w:r>
          <w:r>
            <w:t>8</w:t>
          </w:r>
          <w:r>
            <w:fldChar w:fldCharType="end"/>
          </w:r>
          <w:r>
            <w:rPr>
              <w:bCs/>
              <w:lang w:val="zh-CN"/>
            </w:rPr>
            <w:fldChar w:fldCharType="end"/>
          </w:r>
        </w:p>
        <w:p>
          <w:pPr>
            <w:pStyle w:val="14"/>
            <w:tabs>
              <w:tab w:val="right" w:leader="dot" w:pos="9070"/>
              <w:tab w:val="clear" w:pos="1050"/>
              <w:tab w:val="clear" w:pos="9060"/>
            </w:tabs>
          </w:pPr>
          <w:r>
            <w:rPr>
              <w:bCs/>
              <w:lang w:val="zh-CN"/>
            </w:rPr>
            <w:fldChar w:fldCharType="begin"/>
          </w:r>
          <w:r>
            <w:rPr>
              <w:bCs/>
              <w:lang w:val="zh-CN"/>
            </w:rPr>
            <w:instrText xml:space="preserve"> HYPERLINK \l _Toc16739 </w:instrText>
          </w:r>
          <w:r>
            <w:rPr>
              <w:bCs/>
              <w:lang w:val="zh-CN"/>
            </w:rPr>
            <w:fldChar w:fldCharType="separate"/>
          </w:r>
          <w:r>
            <w:rPr>
              <w:rFonts w:hint="eastAsia" w:hAnsi="Arial"/>
              <w:lang w:val="en-US" w:eastAsia="zh-CN"/>
            </w:rPr>
            <w:t xml:space="preserve">3.2 </w:t>
          </w:r>
          <w:r>
            <w:rPr>
              <w:rFonts w:hint="eastAsia" w:hAnsi="Arial"/>
            </w:rPr>
            <w:t>论文已完成工作</w:t>
          </w:r>
          <w:r>
            <w:tab/>
          </w:r>
          <w:r>
            <w:fldChar w:fldCharType="begin"/>
          </w:r>
          <w:r>
            <w:instrText xml:space="preserve"> PAGEREF _Toc16739 \h </w:instrText>
          </w:r>
          <w:r>
            <w:fldChar w:fldCharType="separate"/>
          </w:r>
          <w:r>
            <w:t>9</w:t>
          </w:r>
          <w:r>
            <w:fldChar w:fldCharType="end"/>
          </w:r>
          <w:r>
            <w:rPr>
              <w:bCs/>
              <w:lang w:val="zh-CN"/>
            </w:rPr>
            <w:fldChar w:fldCharType="end"/>
          </w:r>
        </w:p>
        <w:p>
          <w:pPr>
            <w:pStyle w:val="12"/>
            <w:tabs>
              <w:tab w:val="right" w:leader="dot" w:pos="9070"/>
            </w:tabs>
          </w:pPr>
          <w:r>
            <w:rPr>
              <w:bCs/>
              <w:lang w:val="zh-CN"/>
            </w:rPr>
            <w:fldChar w:fldCharType="begin"/>
          </w:r>
          <w:r>
            <w:rPr>
              <w:bCs/>
              <w:lang w:val="zh-CN"/>
            </w:rPr>
            <w:instrText xml:space="preserve"> HYPERLINK \l _Toc1519 </w:instrText>
          </w:r>
          <w:r>
            <w:rPr>
              <w:bCs/>
              <w:lang w:val="zh-CN"/>
            </w:rPr>
            <w:fldChar w:fldCharType="separate"/>
          </w:r>
          <w:r>
            <w:t xml:space="preserve">4. </w:t>
          </w:r>
          <w:r>
            <w:rPr>
              <w:rFonts w:hint="eastAsia"/>
            </w:rPr>
            <w:t>后续</w:t>
          </w:r>
          <w:r>
            <w:t>研究计划</w:t>
          </w:r>
          <w:r>
            <w:tab/>
          </w:r>
          <w:r>
            <w:fldChar w:fldCharType="begin"/>
          </w:r>
          <w:r>
            <w:instrText xml:space="preserve"> PAGEREF _Toc1519 \h </w:instrText>
          </w:r>
          <w:r>
            <w:fldChar w:fldCharType="separate"/>
          </w:r>
          <w:r>
            <w:t>13</w:t>
          </w:r>
          <w:r>
            <w:fldChar w:fldCharType="end"/>
          </w:r>
          <w:r>
            <w:rPr>
              <w:bCs/>
              <w:lang w:val="zh-CN"/>
            </w:rPr>
            <w:fldChar w:fldCharType="end"/>
          </w:r>
        </w:p>
        <w:p>
          <w:pPr>
            <w:pStyle w:val="12"/>
            <w:tabs>
              <w:tab w:val="right" w:leader="dot" w:pos="9070"/>
            </w:tabs>
          </w:pPr>
          <w:r>
            <w:rPr>
              <w:bCs/>
              <w:lang w:val="zh-CN"/>
            </w:rPr>
            <w:fldChar w:fldCharType="begin"/>
          </w:r>
          <w:r>
            <w:rPr>
              <w:bCs/>
              <w:lang w:val="zh-CN"/>
            </w:rPr>
            <w:instrText xml:space="preserve"> HYPERLINK \l _Toc31168 </w:instrText>
          </w:r>
          <w:r>
            <w:rPr>
              <w:bCs/>
              <w:lang w:val="zh-CN"/>
            </w:rPr>
            <w:fldChar w:fldCharType="separate"/>
          </w:r>
          <w:r>
            <w:t>5. 主要参考文献</w:t>
          </w:r>
          <w:r>
            <w:tab/>
          </w:r>
          <w:r>
            <w:fldChar w:fldCharType="begin"/>
          </w:r>
          <w:r>
            <w:instrText xml:space="preserve"> PAGEREF _Toc31168 \h </w:instrText>
          </w:r>
          <w:r>
            <w:fldChar w:fldCharType="separate"/>
          </w:r>
          <w:r>
            <w:t>14</w:t>
          </w:r>
          <w:r>
            <w:fldChar w:fldCharType="end"/>
          </w:r>
          <w:r>
            <w:rPr>
              <w:bCs/>
              <w:lang w:val="zh-CN"/>
            </w:rPr>
            <w:fldChar w:fldCharType="end"/>
          </w:r>
        </w:p>
        <w:p>
          <w:pPr>
            <w:spacing w:line="360" w:lineRule="auto"/>
            <w:rPr>
              <w:bCs/>
              <w:lang w:val="zh-CN"/>
            </w:rPr>
          </w:pPr>
          <w:r>
            <w:rPr>
              <w:bCs/>
              <w:lang w:val="zh-CN"/>
            </w:rPr>
            <w:fldChar w:fldCharType="end"/>
          </w:r>
        </w:p>
        <w:p>
          <w:r>
            <w:rPr>
              <w:bCs/>
              <w:lang w:val="zh-CN"/>
            </w:rPr>
            <w:br w:type="page"/>
          </w:r>
        </w:p>
      </w:sdtContent>
    </w:sdt>
    <w:p>
      <w:pPr>
        <w:spacing w:line="360" w:lineRule="auto"/>
        <w:jc w:val="center"/>
        <w:rPr>
          <w:rFonts w:ascii="宋体" w:hAnsi="宋体"/>
          <w:b/>
          <w:bCs/>
          <w:sz w:val="32"/>
          <w:szCs w:val="32"/>
        </w:rPr>
      </w:pPr>
      <w:r>
        <w:rPr>
          <w:rFonts w:hint="eastAsia" w:ascii="宋体" w:hAnsi="宋体"/>
          <w:b/>
          <w:bCs/>
          <w:sz w:val="32"/>
          <w:szCs w:val="32"/>
        </w:rPr>
        <w:t>虚拟现实协同操纵TRS场的设计与实现</w:t>
      </w:r>
    </w:p>
    <w:p>
      <w:pPr>
        <w:pStyle w:val="2"/>
        <w:numPr>
          <w:ilvl w:val="0"/>
          <w:numId w:val="1"/>
        </w:numPr>
        <w:spacing w:line="360" w:lineRule="auto"/>
      </w:pPr>
      <w:bookmarkStart w:id="2" w:name="_Toc20439"/>
      <w:r>
        <w:t>论文选题的背景与意义</w:t>
      </w:r>
      <w:bookmarkEnd w:id="1"/>
      <w:bookmarkEnd w:id="2"/>
    </w:p>
    <w:p>
      <w:pPr>
        <w:spacing w:line="360" w:lineRule="auto"/>
        <w:ind w:firstLine="480" w:firstLineChars="200"/>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虚拟现实是新一代信息技术的集大成者，有望成为计算机、智能手机之后的下一代通用技术平台。随着虚拟现实核心技术产品日益成熟，全球虚拟现实产业进入新一轮的爆发期。以虚拟现实技术为核心的“Metaverse（元宇宙）”受到了Meta（脸书）、微软、英伟达、高通、腾讯、字节跳动、华为等公司的持续发力。脸书在2021年公布打造元宇宙的新计划，在公司VR实验室团队下成立元宇宙团队，持续在VR/AR以及其他元宇宙相关领域进行产品服务研发。Rolbox、Epic等美国公司加大了对元宇宙的投入。作为新一代信息技术融合创新的典型领域，虚拟现实关键技术日渐成熟，在大众消费和垂直行业中应用前景广阔，产业发展正逢其时。</w:t>
      </w:r>
    </w:p>
    <w:p>
      <w:pPr>
        <w:spacing w:line="360" w:lineRule="auto"/>
        <w:ind w:firstLine="480" w:firstLineChars="200"/>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在虚拟现实终端设备方面，开始规模上量，适配场景与功能定位体系日益清晰完备，例如华为VR Glass、HTCFLOW等轻量级VR/AR终端通过强化通信连接能力，以及摄像头提供虚拟助手等功能进而变身为手机伴侣，微软Hololens2等高性能一体式AR终端可在一定程度上取代PC，作为新兴生产力平台，FacebookQuest2等高性能VR终端可作为电视与游戏机等传统文娱平台的产品演进形态。生态开始成型，例如，标杆企业Facebook Quest平台内容收入已达到1.5亿美元，35款游戏收入达到百万美元，沉浸声、手势识别与虚拟化身等特色内容制作SDK陆续发布。据IDC等机构统计，2020 年全球虚拟现实市场规模约为900亿元人民币，其中VR市场620亿元，AR市场280亿元。预计 2020- 2024 五年期间全球虚拟现实产业规模年均增长率约为54%，2024年份额均为2400亿元人民币。从产业结构看，终端器件市场规模占比位居首位，2020 年规模占比逾四成，随着传统行业数字化转型与信息消费升级等常态化，内容应用市场将快速发展，预计2024年市场规模超过2800亿元。</w:t>
      </w:r>
    </w:p>
    <w:p>
      <w:pPr>
        <w:spacing w:line="360" w:lineRule="auto"/>
        <w:ind w:firstLine="480" w:firstLineChars="200"/>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现阶段虚拟现实技术演进轨道尚未定型，技术供需面临多重挑战。比如分辨率、视场角等方面的画面视觉质量有限；由头动响应时延、辐辏调节冲突及晕动症等引发的晕眩感；因缺少适配虚拟现实业务的云网优化，致使网络感知不佳；缺乏令人耳目一新的使用体验与受众渠道，大众认知程度尚待提高。从用户与内容应用间的交互程度看，虚拟现实交互可分为弱交互与强交互两类。前者通常以被动观看的全景视频点播、直播为主，后者常见于游戏、互动教育等形式，内容须根据用户输入的交互信息进行实时渲染，自由度、实时性与交互感更强。总体来讲，我国在虚拟现实近眼显示产业上与国际一流水平差距不大，需强化部分前瞻领域技术攻关。快速响应液晶屏成为多数VR终端的常用选择。国内外企业在渲染计算领域差距显著，我国虚拟现实企业在人工智能与注视点技术方面以技术跟随为主。国内外企业在感知交互领域存在一定差距。我国在该领域缺乏具备规模体量的“牵头人”，表现为研发资源投入力度与对诸多特色技术产业化敏感程度不足。我国在虚拟现实内容制作方面与国际一流水平差距各异，须强化对部分重点领域的技术攻关。在弱交互内容制作领域，insta360 等本土VR全景相机品牌国际影响力 日益上升，相比基本成熟的三自由度 VR 全景视频，国内企业在交互性与技术难度更高的六自由度 VR 视频摄制技术上储备不足。在强交互内容制作领域，VR社交成为游戏以外的战略高地，虚拟化身技术正在拉开虚拟现实社交大幕。受限于感知交互领域的现有积累，我国厂商在虚拟化身制作上以跟随套用国外代表性企业的技术方案为主。虚拟现实对象操纵是以上领域的支撑。</w:t>
      </w:r>
    </w:p>
    <w:p>
      <w:pPr>
        <w:spacing w:line="360" w:lineRule="auto"/>
        <w:ind w:firstLine="420"/>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过去几十年来，虚拟现实技术得到了极大的发展，在诸如工业、设计、建筑、医疗、教育、军事等领域，以其独特的包括高真实感、可交互性等优势得到了广泛的应用，越来越多的公司、技术人员和学术研究者开始研究虚拟现实技术。在文娱休闲领域，针对传统文娱体验互动性有限、社交性不足、 体验形式单一等现状问题，虚拟现实支持融合型、分享型和沉浸型数字内容与服务，有助于围绕信息技术融合创新应用，打造信息消费升 级版，培育中高端消费领域新增长点；在教育培训领域，针对传统教学过程中部分课程内容难于记忆、难于实践、难于理解等现状问题，虚拟现实有助于提升教学质量与行 业培训效果；在医疗健康领域，针对医生短缺、医疗资源分布不均、诊疗方式单一等现状问题，虚拟现实的高沉浸性、高可重复性、高定制化性、 远程可控性等特点，有助于丰富教学和诊疗手段、降低治疗风险、提高设备利用率、促进高素质人才和医疗资源下沉，为医患双方创造便 利条件，推动医疗准确性、安全性与高效性的持续进阶。现阶段虚拟 现实+医疗尚无法完全取代真实诊疗过程，但现已作为传统医学手段 的有效补充，具备规模推广的条件，有望成为医疗行业的重要辅助技术手段之一；在工业生产领域，针对产品复杂度的不断提升、技能娴熟工人的紧缺、设计开发与规划生产的协同、营销与销售绩效的压力等问题，虚拟现实作为新一代人机交互工具，可为开发设计、生产制造、营销 销售、运营维护等人员连接起数字世界和现实世界，提升企业数字化转型过程中从多元数据获取洞察的能力与水平。在装配/运维场景，基于虚拟现实的工作说明显著优于以往静 态参考图片，依托远程协助、3D可视化、实时诊断与反馈等功能特点，可提高按时交付率、产能利用率、首次修复率、新人培训效率，减少返工、废料与不合格率。</w:t>
      </w:r>
    </w:p>
    <w:p>
      <w:pPr>
        <w:spacing w:line="360" w:lineRule="auto"/>
        <w:ind w:firstLine="480" w:firstLineChars="200"/>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虚拟现实中的对象操纵是虚拟现实的基本问题之一，许多研究者已经进行了大量的研究。对象操纵（平移，旋转和缩放）是其中一种 3D 用户交互中最常用的基本操纵，并且可用于许多VR应用程序，例如产品设计，3D 对象建模和虚拟对象组装等。而对象操纵的效率和准确性，操纵的多样性，将直接影响应用程序的效果。而在虚拟环境中精确且快速的协同操纵和放置对象具有一定的挑战性，许多研究人员致力于提高VR中对象操纵的准确性和效率。因此，本研究拟针对虚拟现实中对象操纵的关键问题进行研究，旨在提出更加高效精确自然的虚拟现实对象操纵方法。本课题针对与国际一流水平存在差距的重要领域展开研究。</w:t>
      </w:r>
    </w:p>
    <w:p>
      <w:pPr>
        <w:spacing w:line="360" w:lineRule="auto"/>
        <w:ind w:firstLine="480" w:firstLineChars="200"/>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本研究选题来源于国家自然科学基金委员会资助重点项目“面向增强现实的可视计算理论与方法”。该项目针对新一代产业变革中的重要领域，以“需求牵引、突破瓶颈”作为科学问题属性，解决大尺度复杂环境下的场景精确建模、虚实内容无缝融合和虚实空间协同感知与交互三个关键科学问题，研究基于场景理解与视觉技术的定位与建模、场景感知的虚拟物体真实感渲染、多通道智能化协同交互和面向智能制造的应用示范，在建立理论基础、促进关键技术突破、服务国家重大需求、推动学科发展方面具有重要的科学意义和社会意义。</w:t>
      </w:r>
    </w:p>
    <w:p>
      <w:pPr>
        <w:pStyle w:val="2"/>
        <w:numPr>
          <w:ilvl w:val="0"/>
          <w:numId w:val="1"/>
        </w:numPr>
        <w:spacing w:line="360" w:lineRule="auto"/>
        <w:rPr>
          <w:rFonts w:eastAsia="宋体"/>
        </w:rPr>
      </w:pPr>
      <w:bookmarkStart w:id="3" w:name="_Toc91583390"/>
      <w:bookmarkStart w:id="4" w:name="_Toc28794"/>
      <w:r>
        <w:t>国内外研究现状</w:t>
      </w:r>
      <w:bookmarkEnd w:id="3"/>
      <w:bookmarkEnd w:id="4"/>
      <w:bookmarkStart w:id="5" w:name="_Hlk59108654"/>
      <w:r>
        <w:tab/>
      </w:r>
    </w:p>
    <w:bookmarkEnd w:id="5"/>
    <w:p>
      <w:pPr>
        <w:spacing w:line="360" w:lineRule="auto"/>
        <w:ind w:firstLine="480" w:firstLineChars="200"/>
        <w:rPr>
          <w:rFonts w:ascii="宋体" w:hAnsi="宋体" w:cs="宋体"/>
          <w:sz w:val="24"/>
          <w:szCs w:val="24"/>
        </w:rPr>
      </w:pPr>
      <w:bookmarkStart w:id="6" w:name="_Toc91583394"/>
      <w:r>
        <w:rPr>
          <w:rFonts w:hint="eastAsia" w:ascii="宋体" w:hAnsi="宋体" w:cs="宋体"/>
          <w:sz w:val="24"/>
          <w:szCs w:val="24"/>
        </w:rPr>
        <w:t>在过去的二十年里，许多研究人员致力于对象操纵，这是 VR 中的基本交互之一。 为了更全面地了解 VR 中的对象操纵方法，我们建议读者阅读调查论文</w:t>
      </w:r>
      <w:r>
        <w:rPr>
          <w:rFonts w:hint="eastAsia" w:ascii="宋体" w:hAnsi="宋体" w:cs="宋体"/>
          <w:sz w:val="24"/>
          <w:szCs w:val="24"/>
        </w:rPr>
        <w:fldChar w:fldCharType="begin"/>
      </w:r>
      <w:r>
        <w:rPr>
          <w:rFonts w:hint="eastAsia" w:ascii="宋体" w:hAnsi="宋体" w:cs="宋体"/>
          <w:sz w:val="24"/>
          <w:szCs w:val="24"/>
        </w:rPr>
        <w:instrText xml:space="preserve"> REF _Ref96713979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w:t>
      </w:r>
      <w:r>
        <w:rPr>
          <w:rFonts w:hint="eastAsia" w:ascii="宋体" w:hAnsi="宋体" w:cs="宋体"/>
          <w:sz w:val="24"/>
          <w:szCs w:val="24"/>
        </w:rPr>
        <w:fldChar w:fldCharType="end"/>
      </w:r>
      <w:r>
        <w:rPr>
          <w:rFonts w:hint="eastAsia" w:ascii="宋体" w:hAnsi="宋体" w:cs="宋体"/>
          <w:sz w:val="24"/>
          <w:szCs w:val="24"/>
        </w:rPr>
        <w:t>当我们在虚拟环境中操纵对象时，最直观的想法是手动操纵虚拟对象</w:t>
      </w:r>
      <w:r>
        <w:rPr>
          <w:rFonts w:hint="eastAsia" w:ascii="宋体" w:hAnsi="宋体" w:cs="宋体"/>
          <w:sz w:val="24"/>
          <w:szCs w:val="24"/>
        </w:rPr>
        <w:fldChar w:fldCharType="begin"/>
      </w:r>
      <w:r>
        <w:rPr>
          <w:rFonts w:hint="eastAsia" w:ascii="宋体" w:hAnsi="宋体" w:cs="宋体"/>
          <w:sz w:val="24"/>
          <w:szCs w:val="24"/>
        </w:rPr>
        <w:instrText xml:space="preserve"> REF _Ref96714273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[2]</w:t>
      </w:r>
      <w:r>
        <w:rPr>
          <w:rFonts w:hint="eastAsia" w:ascii="宋体" w:hAnsi="宋体" w:cs="宋体"/>
          <w:sz w:val="24"/>
          <w:szCs w:val="24"/>
        </w:rPr>
        <w:fldChar w:fldCharType="end"/>
      </w:r>
      <w:r>
        <w:rPr>
          <w:rFonts w:hint="eastAsia" w:ascii="宋体" w:hAnsi="宋体" w:cs="宋体"/>
          <w:sz w:val="24"/>
          <w:szCs w:val="24"/>
        </w:rPr>
        <w:fldChar w:fldCharType="begin"/>
      </w:r>
      <w:r>
        <w:rPr>
          <w:rFonts w:hint="eastAsia" w:ascii="宋体" w:hAnsi="宋体" w:cs="宋体"/>
          <w:sz w:val="24"/>
          <w:szCs w:val="24"/>
        </w:rPr>
        <w:instrText xml:space="preserve"> REF _Ref96714275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[3]</w:t>
      </w:r>
      <w:r>
        <w:rPr>
          <w:rFonts w:hint="eastAsia" w:ascii="宋体" w:hAnsi="宋体" w:cs="宋体"/>
          <w:sz w:val="24"/>
          <w:szCs w:val="24"/>
        </w:rPr>
        <w:fldChar w:fldCharType="end"/>
      </w:r>
      <w:r>
        <w:rPr>
          <w:rFonts w:hint="eastAsia" w:ascii="宋体" w:hAnsi="宋体" w:cs="宋体"/>
          <w:sz w:val="24"/>
          <w:szCs w:val="24"/>
        </w:rPr>
        <w:fldChar w:fldCharType="begin"/>
      </w:r>
      <w:r>
        <w:rPr>
          <w:rFonts w:hint="eastAsia" w:ascii="宋体" w:hAnsi="宋体" w:cs="宋体"/>
          <w:sz w:val="24"/>
          <w:szCs w:val="24"/>
        </w:rPr>
        <w:instrText xml:space="preserve"> REF _Ref96714276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[4]</w:t>
      </w:r>
      <w:r>
        <w:rPr>
          <w:rFonts w:hint="eastAsia" w:ascii="宋体" w:hAnsi="宋体" w:cs="宋体"/>
          <w:sz w:val="24"/>
          <w:szCs w:val="24"/>
        </w:rPr>
        <w:fldChar w:fldCharType="end"/>
      </w:r>
      <w:r>
        <w:rPr>
          <w:rFonts w:hint="eastAsia" w:ascii="宋体" w:hAnsi="宋体" w:cs="宋体"/>
          <w:sz w:val="24"/>
          <w:szCs w:val="24"/>
        </w:rPr>
        <w:t>使用这些方法，用户可以操纵他们的手可以触及的附近物体。 然而，在一些 VR 应用中，由于导航方面的挑战，例如物理障碍物和有限的跟踪区域，用户可以操纵的对象范围是有限的。 为了解决这个问题，Poupyrev 等人提出了一种 Go-Go方法</w:t>
      </w:r>
      <w:r>
        <w:rPr>
          <w:rFonts w:hint="eastAsia" w:ascii="宋体" w:hAnsi="宋体" w:cs="宋体"/>
          <w:sz w:val="24"/>
          <w:szCs w:val="24"/>
        </w:rPr>
        <w:fldChar w:fldCharType="begin"/>
      </w:r>
      <w:r>
        <w:rPr>
          <w:rFonts w:hint="eastAsia" w:ascii="宋体" w:hAnsi="宋体" w:cs="宋体"/>
          <w:sz w:val="24"/>
          <w:szCs w:val="24"/>
        </w:rPr>
        <w:instrText xml:space="preserve"> REF _Ref96714387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[5]</w:t>
      </w:r>
      <w:r>
        <w:rPr>
          <w:rFonts w:hint="eastAsia" w:ascii="宋体" w:hAnsi="宋体" w:cs="宋体"/>
          <w:sz w:val="24"/>
          <w:szCs w:val="24"/>
        </w:rPr>
        <w:fldChar w:fldCharType="end"/>
      </w:r>
      <w:r>
        <w:rPr>
          <w:rFonts w:hint="eastAsia" w:ascii="宋体" w:hAnsi="宋体" w:cs="宋体"/>
          <w:sz w:val="24"/>
          <w:szCs w:val="24"/>
        </w:rPr>
        <w:t>，通过交互式地增长用户的手臂和非线性映射来操纵物体，以达到和操纵远处的物体。鲍曼等人提出了一种基于光线投射的对象操纵方法</w:t>
      </w:r>
      <w:r>
        <w:rPr>
          <w:rFonts w:hint="eastAsia" w:ascii="宋体" w:hAnsi="宋体" w:cs="宋体"/>
          <w:sz w:val="24"/>
          <w:szCs w:val="24"/>
        </w:rPr>
        <w:fldChar w:fldCharType="begin"/>
      </w:r>
      <w:r>
        <w:rPr>
          <w:rFonts w:hint="eastAsia" w:ascii="宋体" w:hAnsi="宋体" w:cs="宋体"/>
          <w:sz w:val="24"/>
          <w:szCs w:val="24"/>
        </w:rPr>
        <w:instrText xml:space="preserve"> REF _Ref96714435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[6]</w:t>
      </w:r>
      <w:r>
        <w:rPr>
          <w:rFonts w:hint="eastAsia" w:ascii="宋体" w:hAnsi="宋体" w:cs="宋体"/>
          <w:sz w:val="24"/>
          <w:szCs w:val="24"/>
        </w:rPr>
        <w:fldChar w:fldCharType="end"/>
      </w:r>
      <w:r>
        <w:rPr>
          <w:rFonts w:hint="eastAsia" w:ascii="宋体" w:hAnsi="宋体" w:cs="宋体"/>
          <w:sz w:val="24"/>
          <w:szCs w:val="24"/>
        </w:rPr>
        <w:t>, 可以通过将光线与对象相交来抓取和操纵对象。 我们还使用光线投射来抓取需要在我们的实现中操纵的对象。</w:t>
      </w:r>
    </w:p>
    <w:p>
      <w:pPr>
        <w:spacing w:line="360" w:lineRule="auto"/>
        <w:ind w:firstLine="480" w:firstLineChars="200"/>
        <w:rPr>
          <w:rFonts w:ascii="宋体" w:hAnsi="宋体" w:cs="宋体"/>
          <w:sz w:val="24"/>
          <w:szCs w:val="24"/>
        </w:rPr>
      </w:pPr>
      <w:r>
        <w:rPr>
          <w:rFonts w:hint="eastAsia" w:ascii="宋体" w:hAnsi="宋体" w:cs="宋体"/>
          <w:sz w:val="24"/>
          <w:szCs w:val="24"/>
        </w:rPr>
        <w:t>目前已经提出了许多方法来提高对象操纵的准确性和效率。一些研究人员添加了多个操纵点来限制操纵。洛朗等人提出了 3 手操纵方法</w:t>
      </w:r>
      <w:r>
        <w:rPr>
          <w:rFonts w:hint="eastAsia" w:ascii="宋体" w:hAnsi="宋体" w:cs="宋体"/>
          <w:sz w:val="24"/>
          <w:szCs w:val="24"/>
        </w:rPr>
        <w:fldChar w:fldCharType="begin"/>
      </w:r>
      <w:r>
        <w:rPr>
          <w:rFonts w:hint="eastAsia" w:ascii="宋体" w:hAnsi="宋体" w:cs="宋体"/>
          <w:sz w:val="24"/>
          <w:szCs w:val="24"/>
        </w:rPr>
        <w:instrText xml:space="preserve"> REF _Ref96714494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[7]</w:t>
      </w:r>
      <w:r>
        <w:rPr>
          <w:rFonts w:hint="eastAsia" w:ascii="宋体" w:hAnsi="宋体" w:cs="宋体"/>
          <w:sz w:val="24"/>
          <w:szCs w:val="24"/>
        </w:rPr>
        <w:fldChar w:fldCharType="end"/>
      </w:r>
      <w:r>
        <w:rPr>
          <w:rFonts w:hint="eastAsia" w:ascii="宋体" w:hAnsi="宋体" w:cs="宋体"/>
          <w:sz w:val="24"/>
          <w:szCs w:val="24"/>
        </w:rPr>
        <w:t>该方法允许 2-3 个用户通过操纵三个未对齐的操纵点来协作操纵一个对象。 Thi Thuong Huyen Nguyen 等人介绍了3-Point++工具技术</w:t>
      </w:r>
      <w:r>
        <w:rPr>
          <w:rFonts w:hint="eastAsia" w:ascii="宋体" w:hAnsi="宋体" w:cs="宋体"/>
          <w:sz w:val="24"/>
          <w:szCs w:val="24"/>
        </w:rPr>
        <w:fldChar w:fldCharType="begin"/>
      </w:r>
      <w:r>
        <w:rPr>
          <w:rFonts w:hint="eastAsia" w:ascii="宋体" w:hAnsi="宋体" w:cs="宋体"/>
          <w:sz w:val="24"/>
          <w:szCs w:val="24"/>
        </w:rPr>
        <w:instrText xml:space="preserve"> REF _Ref96714544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[8]</w:t>
      </w:r>
      <w:r>
        <w:rPr>
          <w:rFonts w:hint="eastAsia" w:ascii="宋体" w:hAnsi="宋体" w:cs="宋体"/>
          <w:sz w:val="24"/>
          <w:szCs w:val="24"/>
        </w:rPr>
        <w:fldChar w:fldCharType="end"/>
      </w:r>
      <w:r>
        <w:rPr>
          <w:rFonts w:hint="eastAsia" w:ascii="宋体" w:hAnsi="宋体" w:cs="宋体"/>
          <w:sz w:val="24"/>
          <w:szCs w:val="24"/>
        </w:rPr>
        <w:t>，它包含三个操纵点（3DOF）和重心（6DOF）。用户通过控制重心对物体进行粗操纵，通过三个操纵点对物体进行精细操纵。 Thi-Thuong Huyen Nguyen 等人提出了7-Handle 操纵技术</w:t>
      </w:r>
      <w:r>
        <w:rPr>
          <w:rFonts w:hint="eastAsia" w:ascii="宋体" w:hAnsi="宋体" w:cs="宋体"/>
          <w:sz w:val="24"/>
          <w:szCs w:val="24"/>
        </w:rPr>
        <w:fldChar w:fldCharType="begin"/>
      </w:r>
      <w:r>
        <w:rPr>
          <w:rFonts w:hint="eastAsia" w:ascii="宋体" w:hAnsi="宋体" w:cs="宋体"/>
          <w:sz w:val="24"/>
          <w:szCs w:val="24"/>
        </w:rPr>
        <w:instrText xml:space="preserve"> REF _Ref96714590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[9]</w:t>
      </w:r>
      <w:r>
        <w:rPr>
          <w:rFonts w:hint="eastAsia" w:ascii="宋体" w:hAnsi="宋体" w:cs="宋体"/>
          <w:sz w:val="24"/>
          <w:szCs w:val="24"/>
        </w:rPr>
        <w:fldChar w:fldCharType="end"/>
      </w:r>
      <w:r>
        <w:rPr>
          <w:rFonts w:hint="eastAsia" w:ascii="宋体" w:hAnsi="宋体" w:cs="宋体"/>
          <w:sz w:val="24"/>
          <w:szCs w:val="24"/>
        </w:rPr>
        <w:t>它生成具有多个点的小部件，并根据小部件操纵对象。格洛莫等人介绍了 PinNPivot 操纵技术</w:t>
      </w:r>
      <w:r>
        <w:rPr>
          <w:rFonts w:hint="eastAsia" w:ascii="宋体" w:hAnsi="宋体" w:cs="宋体"/>
          <w:sz w:val="24"/>
          <w:szCs w:val="24"/>
        </w:rPr>
        <w:fldChar w:fldCharType="begin"/>
      </w:r>
      <w:r>
        <w:rPr>
          <w:rFonts w:hint="eastAsia" w:ascii="宋体" w:hAnsi="宋体" w:cs="宋体"/>
          <w:sz w:val="24"/>
          <w:szCs w:val="24"/>
        </w:rPr>
        <w:instrText xml:space="preserve"> REF _Ref96714632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[4]</w:t>
      </w:r>
      <w:r>
        <w:rPr>
          <w:rFonts w:hint="eastAsia" w:ascii="宋体" w:hAnsi="宋体" w:cs="宋体"/>
          <w:sz w:val="24"/>
          <w:szCs w:val="24"/>
        </w:rPr>
        <w:fldChar w:fldCharType="end"/>
      </w:r>
      <w:r>
        <w:rPr>
          <w:rFonts w:hint="eastAsia" w:ascii="宋体" w:hAnsi="宋体" w:cs="宋体"/>
          <w:sz w:val="24"/>
          <w:szCs w:val="24"/>
        </w:rPr>
        <w:t>该技术使用销钉来约束物体的旋转，以提高操纵的效率和准确性。这些基于多点的操纵方法提高了近距离用手直接操纵虚拟物体的效率和准确性，但是它们难以操纵远离用户的物体。</w:t>
      </w:r>
    </w:p>
    <w:p>
      <w:pPr>
        <w:spacing w:line="360" w:lineRule="auto"/>
        <w:ind w:firstLine="480" w:firstLineChars="200"/>
        <w:rPr>
          <w:rFonts w:ascii="宋体" w:hAnsi="宋体" w:cs="宋体"/>
          <w:sz w:val="24"/>
          <w:szCs w:val="24"/>
        </w:rPr>
      </w:pPr>
      <w:r>
        <w:rPr>
          <w:rFonts w:hint="eastAsia" w:ascii="宋体" w:hAnsi="宋体" w:cs="宋体"/>
          <w:sz w:val="24"/>
          <w:szCs w:val="24"/>
        </w:rPr>
        <w:t>一些研究人员使用用户控制的速度来确定操纵的因素。弗里斯等人</w:t>
      </w:r>
      <w:r>
        <w:rPr>
          <w:rFonts w:hint="eastAsia" w:ascii="宋体" w:hAnsi="宋体" w:cs="宋体"/>
          <w:sz w:val="24"/>
          <w:szCs w:val="24"/>
        </w:rPr>
        <w:fldChar w:fldCharType="begin"/>
      </w:r>
      <w:r>
        <w:rPr>
          <w:rFonts w:hint="eastAsia" w:ascii="宋体" w:hAnsi="宋体" w:cs="宋体"/>
          <w:sz w:val="24"/>
          <w:szCs w:val="24"/>
        </w:rPr>
        <w:instrText xml:space="preserve"> REF _Ref96714273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[2]</w:t>
      </w:r>
      <w:r>
        <w:rPr>
          <w:rFonts w:hint="eastAsia" w:ascii="宋体" w:hAnsi="宋体" w:cs="宋体"/>
          <w:sz w:val="24"/>
          <w:szCs w:val="24"/>
        </w:rPr>
        <w:fldChar w:fldCharType="end"/>
      </w:r>
      <w:r>
        <w:rPr>
          <w:rFonts w:hint="eastAsia" w:ascii="宋体" w:hAnsi="宋体" w:cs="宋体"/>
          <w:sz w:val="24"/>
          <w:szCs w:val="24"/>
        </w:rPr>
        <w:t xml:space="preserve"> 提出了 PRISM 方法，根据手的速度将用户的状态分为两种模式。当用户处于精确模式时，通过增加控制/显示 (CD) 比率，使对象平移和旋转的速度比用户的手慢。在另一种模式中，用户属于正常模式，在这种模式下，每次他们的手移动，对象移动相等的距离。威尔克斯等人</w:t>
      </w:r>
      <w:r>
        <w:rPr>
          <w:rFonts w:hint="eastAsia" w:ascii="宋体" w:hAnsi="宋体" w:cs="宋体"/>
          <w:sz w:val="24"/>
          <w:szCs w:val="24"/>
        </w:rPr>
        <w:fldChar w:fldCharType="begin"/>
      </w:r>
      <w:r>
        <w:rPr>
          <w:rFonts w:hint="eastAsia" w:ascii="宋体" w:hAnsi="宋体" w:cs="宋体"/>
          <w:sz w:val="24"/>
          <w:szCs w:val="24"/>
        </w:rPr>
        <w:instrText xml:space="preserve"> REF _Ref96715283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[11]</w:t>
      </w:r>
      <w:r>
        <w:rPr>
          <w:rFonts w:hint="eastAsia" w:ascii="宋体" w:hAnsi="宋体" w:cs="宋体"/>
          <w:sz w:val="24"/>
          <w:szCs w:val="24"/>
        </w:rPr>
        <w:fldChar w:fldCharType="end"/>
      </w:r>
      <w:r>
        <w:rPr>
          <w:rFonts w:hint="eastAsia" w:ascii="宋体" w:hAnsi="宋体" w:cs="宋体"/>
          <w:sz w:val="24"/>
          <w:szCs w:val="24"/>
        </w:rPr>
        <w:t>扩展了 HOMER 方法</w:t>
      </w:r>
      <w:r>
        <w:rPr>
          <w:rFonts w:hint="eastAsia" w:ascii="宋体" w:hAnsi="宋体" w:cs="宋体"/>
          <w:sz w:val="24"/>
          <w:szCs w:val="24"/>
        </w:rPr>
        <w:fldChar w:fldCharType="begin"/>
      </w:r>
      <w:r>
        <w:rPr>
          <w:rFonts w:hint="eastAsia" w:ascii="宋体" w:hAnsi="宋体" w:cs="宋体"/>
          <w:sz w:val="24"/>
          <w:szCs w:val="24"/>
        </w:rPr>
        <w:instrText xml:space="preserve"> REF _Ref96715327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[12]</w:t>
      </w:r>
      <w:r>
        <w:rPr>
          <w:rFonts w:hint="eastAsia" w:ascii="宋体" w:hAnsi="宋体" w:cs="宋体"/>
          <w:sz w:val="24"/>
          <w:szCs w:val="24"/>
        </w:rPr>
        <w:fldChar w:fldCharType="end"/>
      </w:r>
      <w:r>
        <w:rPr>
          <w:rFonts w:hint="eastAsia" w:ascii="宋体" w:hAnsi="宋体" w:cs="宋体"/>
          <w:sz w:val="24"/>
          <w:szCs w:val="24"/>
        </w:rPr>
        <w:t>的操纵，使其更适合更高精度的长程和短程操纵任务，而不会减慢速度。他们还结合了 PRISM 和Go-Go方法来提高Go-Go方法的准确性</w:t>
      </w:r>
      <w:r>
        <w:rPr>
          <w:rFonts w:hint="eastAsia" w:ascii="宋体" w:hAnsi="宋体" w:cs="宋体"/>
          <w:sz w:val="24"/>
          <w:szCs w:val="24"/>
        </w:rPr>
        <w:fldChar w:fldCharType="begin"/>
      </w:r>
      <w:r>
        <w:rPr>
          <w:rFonts w:hint="eastAsia" w:ascii="宋体" w:hAnsi="宋体" w:cs="宋体"/>
          <w:sz w:val="24"/>
          <w:szCs w:val="24"/>
        </w:rPr>
        <w:instrText xml:space="preserve"> REF _Ref96715413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[13]</w:t>
      </w:r>
      <w:r>
        <w:rPr>
          <w:rFonts w:hint="eastAsia" w:ascii="宋体" w:hAnsi="宋体" w:cs="宋体"/>
          <w:sz w:val="24"/>
          <w:szCs w:val="24"/>
        </w:rPr>
        <w:fldChar w:fldCharType="end"/>
      </w:r>
      <w:r>
        <w:rPr>
          <w:rFonts w:hint="eastAsia" w:ascii="宋体" w:hAnsi="宋体" w:cs="宋体"/>
          <w:sz w:val="24"/>
          <w:szCs w:val="24"/>
        </w:rPr>
        <w:t xml:space="preserve">。Noritaka </w:t>
      </w:r>
      <w:r>
        <w:rPr>
          <w:rFonts w:hint="eastAsia" w:ascii="宋体" w:hAnsi="宋体" w:cs="宋体"/>
          <w:sz w:val="24"/>
          <w:szCs w:val="24"/>
        </w:rPr>
        <w:fldChar w:fldCharType="begin"/>
      </w:r>
      <w:r>
        <w:rPr>
          <w:rFonts w:hint="eastAsia" w:ascii="宋体" w:hAnsi="宋体" w:cs="宋体"/>
          <w:sz w:val="24"/>
          <w:szCs w:val="24"/>
        </w:rPr>
        <w:instrText xml:space="preserve"> REF _Ref96715448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[14]</w:t>
      </w:r>
      <w:r>
        <w:rPr>
          <w:rFonts w:hint="eastAsia" w:ascii="宋体" w:hAnsi="宋体" w:cs="宋体"/>
          <w:sz w:val="24"/>
          <w:szCs w:val="24"/>
        </w:rPr>
        <w:fldChar w:fldCharType="end"/>
      </w:r>
      <w:r>
        <w:rPr>
          <w:rFonts w:hint="eastAsia" w:ascii="宋体" w:hAnsi="宋体" w:cs="宋体"/>
          <w:sz w:val="24"/>
          <w:szCs w:val="24"/>
        </w:rPr>
        <w:t>提出了位置调整和视点调整两种调整方法。当用户使用一只手时，两种调节方式中的系数是根据用户手的速度来确定的。当用户使用双手时，该因素由双手之间的距离决定。Kim等人</w:t>
      </w:r>
      <w:r>
        <w:rPr>
          <w:rFonts w:hint="eastAsia" w:ascii="宋体" w:hAnsi="宋体" w:cs="宋体"/>
          <w:sz w:val="24"/>
          <w:szCs w:val="24"/>
        </w:rPr>
        <w:fldChar w:fldCharType="begin"/>
      </w:r>
      <w:r>
        <w:rPr>
          <w:rFonts w:hint="eastAsia" w:ascii="宋体" w:hAnsi="宋体" w:cs="宋体"/>
          <w:sz w:val="24"/>
          <w:szCs w:val="24"/>
        </w:rPr>
        <w:instrText xml:space="preserve"> REF _Ref96715521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[15]</w:t>
      </w:r>
      <w:r>
        <w:rPr>
          <w:rFonts w:hint="eastAsia" w:ascii="宋体" w:hAnsi="宋体" w:cs="宋体"/>
          <w:sz w:val="24"/>
          <w:szCs w:val="24"/>
        </w:rPr>
        <w:fldChar w:fldCharType="end"/>
      </w:r>
      <w:r>
        <w:rPr>
          <w:rFonts w:hint="eastAsia" w:ascii="宋体" w:hAnsi="宋体" w:cs="宋体"/>
          <w:sz w:val="24"/>
          <w:szCs w:val="24"/>
        </w:rPr>
        <w:t>提出了一种非线性映射方法来提高操纵的效率。它通过手的平移和旋转的速度和加速度来确定组合系数。在这种方法中，被操纵物体的平移和旋转速度总是大于或等于手的速度，当物体靠近目标时可能会造成过度操纵。具有解剖学 2D/3D 形状匹配的 3D 用户界面旨在允许用户动态调整平移和旋转增益</w:t>
      </w:r>
      <w:r>
        <w:rPr>
          <w:rFonts w:hint="eastAsia" w:ascii="宋体" w:hAnsi="宋体" w:cs="宋体"/>
          <w:sz w:val="24"/>
          <w:szCs w:val="24"/>
        </w:rPr>
        <w:fldChar w:fldCharType="begin"/>
      </w:r>
      <w:r>
        <w:rPr>
          <w:rFonts w:hint="eastAsia" w:ascii="宋体" w:hAnsi="宋体" w:cs="宋体"/>
          <w:sz w:val="24"/>
          <w:szCs w:val="24"/>
        </w:rPr>
        <w:instrText xml:space="preserve"> REF _Ref96715529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[16]</w:t>
      </w:r>
      <w:r>
        <w:rPr>
          <w:rFonts w:hint="eastAsia" w:ascii="宋体" w:hAnsi="宋体" w:cs="宋体"/>
          <w:sz w:val="24"/>
          <w:szCs w:val="24"/>
        </w:rPr>
        <w:fldChar w:fldCharType="end"/>
      </w:r>
      <w:r>
        <w:rPr>
          <w:rFonts w:hint="eastAsia" w:ascii="宋体" w:hAnsi="宋体" w:cs="宋体"/>
          <w:sz w:val="24"/>
          <w:szCs w:val="24"/>
        </w:rPr>
        <w:t>。这些方法使用用户输入的速度来确定操纵对象的速度。在操纵过程中，用户不仅需要注意观察视野中物体和目标的位置和姿态，还需要注意自己手部动作的速度，因此用户的任务负荷很大，这降低了操纵的效率和准确性。我们的方法我们的方法根据用户观察视图中的object-target关系自动调整操纵，用户只需要关注视图。</w:t>
      </w:r>
    </w:p>
    <w:p>
      <w:pPr>
        <w:spacing w:line="360" w:lineRule="auto"/>
        <w:ind w:firstLine="480" w:firstLineChars="200"/>
        <w:rPr>
          <w:rFonts w:ascii="宋体" w:hAnsi="宋体" w:cs="宋体"/>
          <w:sz w:val="24"/>
          <w:szCs w:val="24"/>
        </w:rPr>
      </w:pPr>
      <w:r>
        <w:rPr>
          <w:rFonts w:hint="eastAsia" w:ascii="宋体" w:hAnsi="宋体" w:cs="宋体"/>
          <w:sz w:val="24"/>
          <w:szCs w:val="24"/>
        </w:rPr>
        <w:t xml:space="preserve">近年来，许多关于用户交互的研究都使用了视图分析的方法。弗赖塔格等人。 </w:t>
      </w:r>
      <w:r>
        <w:rPr>
          <w:rFonts w:hint="eastAsia" w:ascii="宋体" w:hAnsi="宋体" w:cs="宋体"/>
          <w:sz w:val="24"/>
          <w:szCs w:val="24"/>
        </w:rPr>
        <w:fldChar w:fldCharType="begin"/>
      </w:r>
      <w:r>
        <w:rPr>
          <w:rFonts w:hint="eastAsia" w:ascii="宋体" w:hAnsi="宋体" w:cs="宋体"/>
          <w:sz w:val="24"/>
          <w:szCs w:val="24"/>
        </w:rPr>
        <w:instrText xml:space="preserve"> REF _Ref96715564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[17]</w:t>
      </w:r>
      <w:r>
        <w:rPr>
          <w:rFonts w:hint="eastAsia" w:ascii="宋体" w:hAnsi="宋体" w:cs="宋体"/>
          <w:sz w:val="24"/>
          <w:szCs w:val="24"/>
        </w:rPr>
        <w:fldChar w:fldCharType="end"/>
      </w:r>
      <w:r>
        <w:rPr>
          <w:rFonts w:hint="eastAsia" w:ascii="宋体" w:hAnsi="宋体" w:cs="宋体"/>
          <w:sz w:val="24"/>
          <w:szCs w:val="24"/>
        </w:rPr>
        <w:t>通过分析整个场景的视点质量来自动调整虚拟场景中的行进速度。他们还设计了一个交互式辅助界面，通过对视图信息的分析</w:t>
      </w:r>
      <w:r>
        <w:rPr>
          <w:rFonts w:hint="eastAsia" w:ascii="宋体" w:hAnsi="宋体" w:cs="宋体"/>
          <w:sz w:val="24"/>
          <w:szCs w:val="24"/>
        </w:rPr>
        <w:fldChar w:fldCharType="begin"/>
      </w:r>
      <w:r>
        <w:rPr>
          <w:rFonts w:hint="eastAsia" w:ascii="宋体" w:hAnsi="宋体" w:cs="宋体"/>
          <w:sz w:val="24"/>
          <w:szCs w:val="24"/>
        </w:rPr>
        <w:instrText xml:space="preserve"> REF _Ref96715610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[18]</w:t>
      </w:r>
      <w:r>
        <w:rPr>
          <w:rFonts w:hint="eastAsia" w:ascii="宋体" w:hAnsi="宋体" w:cs="宋体"/>
          <w:sz w:val="24"/>
          <w:szCs w:val="24"/>
        </w:rPr>
        <w:fldChar w:fldCharType="end"/>
      </w:r>
      <w:r>
        <w:rPr>
          <w:rFonts w:hint="eastAsia" w:ascii="宋体" w:hAnsi="宋体" w:cs="宋体"/>
          <w:sz w:val="24"/>
          <w:szCs w:val="24"/>
        </w:rPr>
        <w:t>将用户引导到感兴趣的区域。 曹</w:t>
      </w:r>
      <w:r>
        <w:rPr>
          <w:rFonts w:hint="eastAsia" w:ascii="宋体" w:hAnsi="宋体" w:cs="宋体"/>
          <w:sz w:val="24"/>
          <w:szCs w:val="24"/>
        </w:rPr>
        <w:fldChar w:fldCharType="begin"/>
      </w:r>
      <w:r>
        <w:rPr>
          <w:rFonts w:hint="eastAsia" w:ascii="宋体" w:hAnsi="宋体" w:cs="宋体"/>
          <w:sz w:val="24"/>
          <w:szCs w:val="24"/>
        </w:rPr>
        <w:instrText xml:space="preserve"> REF _Ref96715653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[19]</w:t>
      </w:r>
      <w:r>
        <w:rPr>
          <w:rFonts w:hint="eastAsia" w:ascii="宋体" w:hAnsi="宋体" w:cs="宋体"/>
          <w:sz w:val="24"/>
          <w:szCs w:val="24"/>
        </w:rPr>
        <w:fldChar w:fldCharType="end"/>
      </w:r>
      <w:r>
        <w:rPr>
          <w:rFonts w:hint="eastAsia" w:ascii="宋体" w:hAnsi="宋体" w:cs="宋体"/>
          <w:sz w:val="24"/>
          <w:szCs w:val="24"/>
        </w:rPr>
        <w:t xml:space="preserve">提出了一种基于用户视图视觉特征分析的路径重定向方法。王等人 </w:t>
      </w:r>
      <w:r>
        <w:rPr>
          <w:rFonts w:hint="eastAsia" w:ascii="宋体" w:hAnsi="宋体" w:cs="宋体"/>
          <w:sz w:val="24"/>
          <w:szCs w:val="24"/>
        </w:rPr>
        <w:fldChar w:fldCharType="begin"/>
      </w:r>
      <w:r>
        <w:rPr>
          <w:rFonts w:hint="eastAsia" w:ascii="宋体" w:hAnsi="宋体" w:cs="宋体"/>
          <w:sz w:val="24"/>
          <w:szCs w:val="24"/>
        </w:rPr>
        <w:instrText xml:space="preserve"> REF _Ref96715699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[20]</w:t>
      </w:r>
      <w:r>
        <w:rPr>
          <w:rFonts w:hint="eastAsia" w:ascii="宋体" w:hAnsi="宋体" w:cs="宋体"/>
          <w:sz w:val="24"/>
          <w:szCs w:val="24"/>
        </w:rPr>
        <w:fldChar w:fldCharType="end"/>
      </w:r>
      <w:r>
        <w:rPr>
          <w:rFonts w:hint="eastAsia" w:ascii="宋体" w:hAnsi="宋体" w:cs="宋体"/>
          <w:sz w:val="24"/>
          <w:szCs w:val="24"/>
        </w:rPr>
        <w:t>引入了一种对象选择方法，该方法分析用户视图中的遮挡并生成辅助视图，以提高 VR 选择的效率。他们还量化了多个用户的视图质量，以确定操纵协作的dominator</w:t>
      </w:r>
      <w:r>
        <w:rPr>
          <w:rFonts w:hint="eastAsia" w:ascii="宋体" w:hAnsi="宋体" w:cs="宋体"/>
          <w:sz w:val="24"/>
          <w:szCs w:val="24"/>
        </w:rPr>
        <w:fldChar w:fldCharType="begin"/>
      </w:r>
      <w:r>
        <w:rPr>
          <w:rFonts w:hint="eastAsia" w:ascii="宋体" w:hAnsi="宋体" w:cs="宋体"/>
          <w:sz w:val="24"/>
          <w:szCs w:val="24"/>
        </w:rPr>
        <w:instrText xml:space="preserve"> REF _Ref96715752 \w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sz w:val="24"/>
          <w:szCs w:val="24"/>
        </w:rPr>
        <w:t>[21]</w:t>
      </w:r>
      <w:r>
        <w:rPr>
          <w:rFonts w:hint="eastAsia" w:ascii="宋体" w:hAnsi="宋体" w:cs="宋体"/>
          <w:sz w:val="24"/>
          <w:szCs w:val="24"/>
        </w:rPr>
        <w:fldChar w:fldCharType="end"/>
      </w:r>
      <w:r>
        <w:rPr>
          <w:rFonts w:hint="eastAsia" w:ascii="宋体" w:hAnsi="宋体" w:cs="宋体"/>
          <w:sz w:val="24"/>
          <w:szCs w:val="24"/>
        </w:rPr>
        <w:t>。我们通过分析用户视图中目标和要操纵的对象之间的关系，并根据其分析计算操纵增益。</w:t>
      </w:r>
    </w:p>
    <w:p>
      <w:pPr>
        <w:spacing w:line="360" w:lineRule="auto"/>
        <w:ind w:firstLine="480" w:firstLineChars="200"/>
        <w:rPr>
          <w:rFonts w:ascii="宋体" w:hAnsi="宋体" w:cs="宋体"/>
          <w:sz w:val="24"/>
          <w:szCs w:val="24"/>
        </w:rPr>
      </w:pPr>
      <w:r>
        <w:rPr>
          <w:rFonts w:hint="eastAsia" w:ascii="宋体" w:hAnsi="宋体" w:cs="宋体"/>
          <w:sz w:val="24"/>
          <w:szCs w:val="24"/>
        </w:rPr>
        <w:t>多人协同是 VR 重要的主题之一，过去几年开发了很多本地和远程的沉浸式的协 同系统。而协同操纵是指在同一虚拟环境（VE）中，多个用户可以通过某些方式进行交 互，实现对虚拟对象的同时操纵（平移，旋转和缩放），共同完成任务。协同操纵的研究 在产品和设备设计以及装配任务等许多领域都具有重要意义。Aguerreche</w:t>
      </w:r>
      <w:r>
        <w:rPr>
          <w:rFonts w:hint="eastAsia" w:ascii="宋体" w:hAnsi="宋体" w:cs="宋体"/>
          <w:sz w:val="24"/>
          <w:szCs w:val="24"/>
        </w:rPr>
        <w:fldChar w:fldCharType="begin"/>
      </w:r>
      <w:r>
        <w:rPr>
          <w:rFonts w:hint="eastAsia" w:ascii="宋体" w:hAnsi="宋体" w:cs="宋体"/>
          <w:sz w:val="24"/>
          <w:szCs w:val="24"/>
        </w:rPr>
        <w:instrText xml:space="preserve"> REF _Ref96431335 \r \h  \* MERGEFORMAT </w:instrText>
      </w:r>
      <w:r>
        <w:rPr>
          <w:rFonts w:hint="eastAsia" w:ascii="宋体" w:hAnsi="宋体" w:cs="宋体"/>
          <w:sz w:val="24"/>
          <w:szCs w:val="24"/>
        </w:rPr>
        <w:fldChar w:fldCharType="separate"/>
      </w:r>
      <w:r>
        <w:rPr>
          <w:rFonts w:hint="eastAsia" w:ascii="宋体" w:hAnsi="宋体" w:cs="宋体"/>
          <w:sz w:val="24"/>
          <w:szCs w:val="24"/>
        </w:rPr>
        <w:t>[22]</w:t>
      </w:r>
      <w:r>
        <w:rPr>
          <w:rFonts w:hint="eastAsia" w:ascii="宋体" w:hAnsi="宋体" w:cs="宋体"/>
          <w:sz w:val="24"/>
          <w:szCs w:val="24"/>
        </w:rPr>
        <w:fldChar w:fldCharType="end"/>
      </w:r>
      <w:r>
        <w:rPr>
          <w:rFonts w:hint="eastAsia" w:ascii="宋体" w:hAnsi="宋体" w:cs="宋体"/>
          <w:sz w:val="24"/>
          <w:szCs w:val="24"/>
        </w:rPr>
        <w:t>首次引入了可重新配置的有形设备的新概念，用于虚拟环境中的 3D 对象协同操纵。对协同操纵的需求源于以下事实：不同的用户由于受到障碍物的遮挡，收到的视图信息是不一致的， 以及单一视角下的有限信息也会导致任务完成效率低下并且任务完成的质量较差。因此 单个用户很难使用传统的 3D 操纵和交互技术来在虚拟环境中完成特定的对象操纵任务。 Pinho</w:t>
      </w:r>
      <w:r>
        <w:rPr>
          <w:rFonts w:hint="eastAsia" w:ascii="宋体" w:hAnsi="宋体" w:cs="宋体"/>
          <w:sz w:val="24"/>
          <w:szCs w:val="24"/>
        </w:rPr>
        <w:fldChar w:fldCharType="begin"/>
      </w:r>
      <w:r>
        <w:rPr>
          <w:rFonts w:hint="eastAsia" w:ascii="宋体" w:hAnsi="宋体" w:cs="宋体"/>
          <w:sz w:val="24"/>
          <w:szCs w:val="24"/>
        </w:rPr>
        <w:instrText xml:space="preserve"> REF _Ref96431455 \r \h  \* MERGEFORMAT </w:instrText>
      </w:r>
      <w:r>
        <w:rPr>
          <w:rFonts w:hint="eastAsia" w:ascii="宋体" w:hAnsi="宋体" w:cs="宋体"/>
          <w:sz w:val="24"/>
          <w:szCs w:val="24"/>
        </w:rPr>
        <w:fldChar w:fldCharType="separate"/>
      </w:r>
      <w:r>
        <w:rPr>
          <w:rFonts w:hint="eastAsia" w:ascii="宋体" w:hAnsi="宋体" w:cs="宋体"/>
          <w:sz w:val="24"/>
          <w:szCs w:val="24"/>
        </w:rPr>
        <w:t>[23]</w:t>
      </w:r>
      <w:r>
        <w:rPr>
          <w:rFonts w:hint="eastAsia" w:ascii="宋体" w:hAnsi="宋体" w:cs="宋体"/>
          <w:sz w:val="24"/>
          <w:szCs w:val="24"/>
        </w:rPr>
        <w:fldChar w:fldCharType="end"/>
      </w:r>
      <w:r>
        <w:rPr>
          <w:rFonts w:hint="eastAsia" w:ascii="宋体" w:hAnsi="宋体" w:cs="宋体"/>
          <w:sz w:val="24"/>
          <w:szCs w:val="24"/>
        </w:rPr>
        <w:t>提出了一种多用户协同操纵框架，该框架结合了单用户交互技术的规则。结果表明，在某些情况下，协同操纵比单用户操纵更为有效、准确和实用。例如，当周围环境 遮挡目标位置时，用户使用射线投射技术很难将对象放置在远离用户当前位置的位置。协同操纵可以增强团队解决复杂操纵任务（例如对象的精确定位）的能力，降低由于单 用户单一视点带来的影响，并且在效率和准确性方面要优于单个用户。</w:t>
      </w:r>
    </w:p>
    <w:p>
      <w:pPr>
        <w:spacing w:line="360" w:lineRule="auto"/>
        <w:ind w:firstLine="480" w:firstLineChars="200"/>
        <w:rPr>
          <w:rFonts w:ascii="宋体" w:hAnsi="宋体" w:cs="宋体"/>
          <w:sz w:val="24"/>
          <w:szCs w:val="24"/>
        </w:rPr>
      </w:pPr>
      <w:r>
        <w:rPr>
          <w:rFonts w:hint="eastAsia" w:ascii="宋体" w:hAnsi="宋体" w:cs="宋体"/>
          <w:sz w:val="24"/>
          <w:szCs w:val="24"/>
        </w:rPr>
        <w:t>Ruddle</w:t>
      </w:r>
      <w:r>
        <w:rPr>
          <w:rFonts w:hint="eastAsia" w:ascii="宋体" w:hAnsi="宋体" w:cs="宋体"/>
          <w:sz w:val="24"/>
          <w:szCs w:val="24"/>
        </w:rPr>
        <w:fldChar w:fldCharType="begin"/>
      </w:r>
      <w:r>
        <w:rPr>
          <w:rFonts w:hint="eastAsia" w:ascii="宋体" w:hAnsi="宋体" w:cs="宋体"/>
          <w:sz w:val="24"/>
          <w:szCs w:val="24"/>
        </w:rPr>
        <w:instrText xml:space="preserve"> REF _Ref96436848 \r \h  \* MERGEFORMAT </w:instrText>
      </w:r>
      <w:r>
        <w:rPr>
          <w:rFonts w:hint="eastAsia" w:ascii="宋体" w:hAnsi="宋体" w:cs="宋体"/>
          <w:sz w:val="24"/>
          <w:szCs w:val="24"/>
        </w:rPr>
        <w:fldChar w:fldCharType="separate"/>
      </w:r>
      <w:r>
        <w:rPr>
          <w:rFonts w:hint="eastAsia" w:ascii="宋体" w:hAnsi="宋体" w:cs="宋体"/>
          <w:sz w:val="24"/>
          <w:szCs w:val="24"/>
        </w:rPr>
        <w:t>[24]</w:t>
      </w:r>
      <w:r>
        <w:rPr>
          <w:rFonts w:hint="eastAsia" w:ascii="宋体" w:hAnsi="宋体" w:cs="宋体"/>
          <w:sz w:val="24"/>
          <w:szCs w:val="24"/>
        </w:rPr>
        <w:fldChar w:fldCharType="end"/>
      </w:r>
      <w:r>
        <w:rPr>
          <w:rFonts w:hint="eastAsia" w:ascii="宋体" w:hAnsi="宋体" w:cs="宋体"/>
          <w:sz w:val="24"/>
          <w:szCs w:val="24"/>
        </w:rPr>
        <w:t>比较了协同操纵中两种不同用户操纵集成的方法，一种是选择不同用户操 作中相同的部分，另一种是计算不同用户操纵的平均值。结果表明，就任务完成时间而言，这两种集成方法在整体范围内是等效的。Duval</w:t>
      </w:r>
      <w:r>
        <w:rPr>
          <w:rFonts w:hint="eastAsia" w:ascii="宋体" w:hAnsi="宋体" w:cs="宋体"/>
          <w:sz w:val="24"/>
          <w:szCs w:val="24"/>
        </w:rPr>
        <w:fldChar w:fldCharType="begin"/>
      </w:r>
      <w:r>
        <w:rPr>
          <w:rFonts w:hint="eastAsia" w:ascii="宋体" w:hAnsi="宋体" w:cs="宋体"/>
          <w:sz w:val="24"/>
          <w:szCs w:val="24"/>
        </w:rPr>
        <w:instrText xml:space="preserve"> REF _Ref96436931 \r \h  \* MERGEFORMAT </w:instrText>
      </w:r>
      <w:r>
        <w:rPr>
          <w:rFonts w:hint="eastAsia" w:ascii="宋体" w:hAnsi="宋体" w:cs="宋体"/>
          <w:sz w:val="24"/>
          <w:szCs w:val="24"/>
        </w:rPr>
        <w:fldChar w:fldCharType="separate"/>
      </w:r>
      <w:r>
        <w:rPr>
          <w:rFonts w:hint="eastAsia" w:ascii="宋体" w:hAnsi="宋体" w:cs="宋体"/>
          <w:sz w:val="24"/>
          <w:szCs w:val="24"/>
        </w:rPr>
        <w:t>[25]</w:t>
      </w:r>
      <w:r>
        <w:rPr>
          <w:rFonts w:hint="eastAsia" w:ascii="宋体" w:hAnsi="宋体" w:cs="宋体"/>
          <w:sz w:val="24"/>
          <w:szCs w:val="24"/>
        </w:rPr>
        <w:fldChar w:fldCharType="end"/>
      </w:r>
      <w:r>
        <w:rPr>
          <w:rFonts w:hint="eastAsia" w:ascii="宋体" w:hAnsi="宋体" w:cs="宋体"/>
          <w:sz w:val="24"/>
          <w:szCs w:val="24"/>
        </w:rPr>
        <w:t>提出了一种通过称为每个用户的“挤 压点”来改变被操纵对象的位置和方向的技术。此技术仅使用用户的平移动作来操纵物体，代替复杂的六自由度运动。Bent-Pick-Ray</w:t>
      </w:r>
      <w:r>
        <w:rPr>
          <w:rFonts w:hint="eastAsia" w:ascii="宋体" w:hAnsi="宋体" w:cs="宋体"/>
          <w:sz w:val="24"/>
          <w:szCs w:val="24"/>
        </w:rPr>
        <w:fldChar w:fldCharType="begin"/>
      </w:r>
      <w:r>
        <w:rPr>
          <w:rFonts w:hint="eastAsia" w:ascii="宋体" w:hAnsi="宋体" w:cs="宋体"/>
          <w:sz w:val="24"/>
          <w:szCs w:val="24"/>
        </w:rPr>
        <w:instrText xml:space="preserve"> REF _Ref96436981 \r \h  \* MERGEFORMAT </w:instrText>
      </w:r>
      <w:r>
        <w:rPr>
          <w:rFonts w:hint="eastAsia" w:ascii="宋体" w:hAnsi="宋体" w:cs="宋体"/>
          <w:sz w:val="24"/>
          <w:szCs w:val="24"/>
        </w:rPr>
        <w:fldChar w:fldCharType="separate"/>
      </w:r>
      <w:r>
        <w:rPr>
          <w:rFonts w:hint="eastAsia" w:ascii="宋体" w:hAnsi="宋体" w:cs="宋体"/>
          <w:sz w:val="24"/>
          <w:szCs w:val="24"/>
        </w:rPr>
        <w:t>[26]</w:t>
      </w:r>
      <w:r>
        <w:rPr>
          <w:rFonts w:hint="eastAsia" w:ascii="宋体" w:hAnsi="宋体" w:cs="宋体"/>
          <w:sz w:val="24"/>
          <w:szCs w:val="24"/>
        </w:rPr>
        <w:fldChar w:fldCharType="end"/>
      </w:r>
      <w:r>
        <w:rPr>
          <w:rFonts w:hint="eastAsia" w:ascii="宋体" w:hAnsi="宋体" w:cs="宋体"/>
          <w:sz w:val="24"/>
          <w:szCs w:val="24"/>
        </w:rPr>
        <w:t>是 VR 中基于射线的非对称协同操纵技 术。当两个用户操纵相同的对象时，投射出的射线将根据指向方向和选定的物体上的点 弯曲，从而给用户提供持续的视觉反馈。</w:t>
      </w:r>
    </w:p>
    <w:p>
      <w:pPr>
        <w:spacing w:line="360" w:lineRule="auto"/>
        <w:ind w:firstLine="480" w:firstLineChars="200"/>
        <w:rPr>
          <w:rFonts w:ascii="宋体" w:hAnsi="宋体" w:cs="宋体"/>
          <w:sz w:val="24"/>
          <w:szCs w:val="24"/>
        </w:rPr>
      </w:pPr>
      <w:r>
        <w:rPr>
          <w:rFonts w:hint="eastAsia" w:ascii="宋体" w:hAnsi="宋体" w:cs="宋体"/>
          <w:sz w:val="24"/>
          <w:szCs w:val="24"/>
        </w:rPr>
        <w:t>上述方法中，多个用户在协同操纵中的角色是对称的，即这些用户可以进行的操纵 在对象上是相同的。这些方法之间的区别在于，多个用户的操纵以不同的方式集成到对象上进行操纵。还有一些协同操纵方法，其中多个用户的角色是不同的。Pinho</w:t>
      </w:r>
      <w:r>
        <w:rPr>
          <w:rFonts w:hint="eastAsia" w:ascii="宋体" w:hAnsi="宋体" w:cs="宋体"/>
          <w:sz w:val="24"/>
          <w:szCs w:val="24"/>
        </w:rPr>
        <w:fldChar w:fldCharType="begin"/>
      </w:r>
      <w:r>
        <w:rPr>
          <w:rFonts w:hint="eastAsia" w:ascii="宋体" w:hAnsi="宋体" w:cs="宋体"/>
          <w:sz w:val="24"/>
          <w:szCs w:val="24"/>
        </w:rPr>
        <w:instrText xml:space="preserve"> REF _Ref96437128 \r \h  \* MERGEFORMAT </w:instrText>
      </w:r>
      <w:r>
        <w:rPr>
          <w:rFonts w:hint="eastAsia" w:ascii="宋体" w:hAnsi="宋体" w:cs="宋体"/>
          <w:sz w:val="24"/>
          <w:szCs w:val="24"/>
        </w:rPr>
        <w:fldChar w:fldCharType="separate"/>
      </w:r>
      <w:r>
        <w:rPr>
          <w:rFonts w:hint="eastAsia" w:ascii="宋体" w:hAnsi="宋体" w:cs="宋体"/>
          <w:sz w:val="24"/>
          <w:szCs w:val="24"/>
        </w:rPr>
        <w:t>[27]</w:t>
      </w:r>
      <w:r>
        <w:rPr>
          <w:rFonts w:hint="eastAsia" w:ascii="宋体" w:hAnsi="宋体" w:cs="宋体"/>
          <w:sz w:val="24"/>
          <w:szCs w:val="24"/>
        </w:rPr>
        <w:fldChar w:fldCharType="end"/>
      </w:r>
      <w:r>
        <w:rPr>
          <w:rFonts w:hint="eastAsia" w:ascii="宋体" w:hAnsi="宋体" w:cs="宋体"/>
          <w:sz w:val="24"/>
          <w:szCs w:val="24"/>
        </w:rPr>
        <w:t>提出了 一种通过分离操纵对象的自由度来共同操纵虚拟对象的方法，例如，在整个操纵过程中，用户 A 只负责平移对象，用户 B 只负责旋转对象。结果表明，当用户之间存在互补的 视点时，自由度分离是有效的。Soares</w:t>
      </w:r>
      <w:r>
        <w:rPr>
          <w:rFonts w:hint="eastAsia" w:ascii="宋体" w:hAnsi="宋体" w:cs="宋体"/>
          <w:sz w:val="24"/>
          <w:szCs w:val="24"/>
        </w:rPr>
        <w:fldChar w:fldCharType="begin"/>
      </w:r>
      <w:r>
        <w:rPr>
          <w:rFonts w:hint="eastAsia" w:ascii="宋体" w:hAnsi="宋体" w:cs="宋体"/>
          <w:sz w:val="24"/>
          <w:szCs w:val="24"/>
        </w:rPr>
        <w:instrText xml:space="preserve"> REF _Ref96437172 \r \h  \* MERGEFORMAT </w:instrText>
      </w:r>
      <w:r>
        <w:rPr>
          <w:rFonts w:hint="eastAsia" w:ascii="宋体" w:hAnsi="宋体" w:cs="宋体"/>
          <w:sz w:val="24"/>
          <w:szCs w:val="24"/>
        </w:rPr>
        <w:fldChar w:fldCharType="separate"/>
      </w:r>
      <w:r>
        <w:rPr>
          <w:rFonts w:hint="eastAsia" w:ascii="宋体" w:hAnsi="宋体" w:cs="宋体"/>
          <w:sz w:val="24"/>
          <w:szCs w:val="24"/>
        </w:rPr>
        <w:t>[28]</w:t>
      </w:r>
      <w:r>
        <w:rPr>
          <w:rFonts w:hint="eastAsia" w:ascii="宋体" w:hAnsi="宋体" w:cs="宋体"/>
          <w:sz w:val="24"/>
          <w:szCs w:val="24"/>
        </w:rPr>
        <w:fldChar w:fldCharType="end"/>
      </w:r>
      <w:r>
        <w:rPr>
          <w:rFonts w:hint="eastAsia" w:ascii="宋体" w:hAnsi="宋体" w:cs="宋体"/>
          <w:sz w:val="24"/>
          <w:szCs w:val="24"/>
        </w:rPr>
        <w:t>提出了 ECO-EXO 技术，该技术也将两个用户之间的自由度分开，根据用户在虚拟场景中的初始位置与被操纵对象的距离，为不同的 用户分配不同的操纵。如距离远的用户执行平移，而距离近的用户执行旋转。Chenechal</w:t>
      </w:r>
      <w:r>
        <w:rPr>
          <w:rFonts w:hint="eastAsia" w:ascii="宋体" w:hAnsi="宋体" w:cs="宋体"/>
          <w:sz w:val="24"/>
          <w:szCs w:val="24"/>
        </w:rPr>
        <w:fldChar w:fldCharType="begin"/>
      </w:r>
      <w:r>
        <w:rPr>
          <w:rFonts w:hint="eastAsia" w:ascii="宋体" w:hAnsi="宋体" w:cs="宋体"/>
          <w:sz w:val="24"/>
          <w:szCs w:val="24"/>
        </w:rPr>
        <w:instrText xml:space="preserve"> REF _Ref96437208 \r \h  \* MERGEFORMAT </w:instrText>
      </w:r>
      <w:r>
        <w:rPr>
          <w:rFonts w:hint="eastAsia" w:ascii="宋体" w:hAnsi="宋体" w:cs="宋体"/>
          <w:sz w:val="24"/>
          <w:szCs w:val="24"/>
        </w:rPr>
        <w:fldChar w:fldCharType="separate"/>
      </w:r>
      <w:r>
        <w:rPr>
          <w:rFonts w:hint="eastAsia" w:ascii="宋体" w:hAnsi="宋体" w:cs="宋体"/>
          <w:sz w:val="24"/>
          <w:szCs w:val="24"/>
        </w:rPr>
        <w:t>[29]</w:t>
      </w:r>
      <w:r>
        <w:rPr>
          <w:rFonts w:hint="eastAsia" w:ascii="宋体" w:hAnsi="宋体" w:cs="宋体"/>
          <w:sz w:val="24"/>
          <w:szCs w:val="24"/>
        </w:rPr>
        <w:fldChar w:fldCharType="end"/>
      </w:r>
      <w:r>
        <w:rPr>
          <w:rFonts w:hint="eastAsia" w:ascii="宋体" w:hAnsi="宋体" w:cs="宋体"/>
          <w:sz w:val="24"/>
          <w:szCs w:val="24"/>
        </w:rPr>
        <w:t>提出了一种在多尺度环境下的非对称协同操纵方法。在这种方法中，第一个用户是一个 具有全局视野的巨人来平移对象；第二个用户是被操纵对象内部的蚂蚁，来缩放和旋转对象；第三个对象可以使用自己的视点来帮助第二个用户缩放对象，第四个可以观看所 有人的视点，帮助他们交流。Grandi</w:t>
      </w:r>
      <w:r>
        <w:rPr>
          <w:rFonts w:hint="eastAsia" w:ascii="宋体" w:hAnsi="宋体" w:cs="宋体"/>
          <w:sz w:val="24"/>
          <w:szCs w:val="24"/>
        </w:rPr>
        <w:fldChar w:fldCharType="begin"/>
      </w:r>
      <w:r>
        <w:rPr>
          <w:rFonts w:hint="eastAsia" w:ascii="宋体" w:hAnsi="宋体" w:cs="宋体"/>
          <w:sz w:val="24"/>
          <w:szCs w:val="24"/>
        </w:rPr>
        <w:instrText xml:space="preserve"> REF _Ref96437275 \r \h  \* MERGEFORMAT </w:instrText>
      </w:r>
      <w:r>
        <w:rPr>
          <w:rFonts w:hint="eastAsia" w:ascii="宋体" w:hAnsi="宋体" w:cs="宋体"/>
          <w:sz w:val="24"/>
          <w:szCs w:val="24"/>
        </w:rPr>
        <w:fldChar w:fldCharType="separate"/>
      </w:r>
      <w:r>
        <w:rPr>
          <w:rFonts w:hint="eastAsia" w:ascii="宋体" w:hAnsi="宋体" w:cs="宋体"/>
          <w:sz w:val="24"/>
          <w:szCs w:val="24"/>
        </w:rPr>
        <w:t>[30]</w:t>
      </w:r>
      <w:r>
        <w:rPr>
          <w:rFonts w:hint="eastAsia" w:ascii="宋体" w:hAnsi="宋体" w:cs="宋体"/>
          <w:sz w:val="24"/>
          <w:szCs w:val="24"/>
        </w:rPr>
        <w:fldChar w:fldCharType="end"/>
      </w:r>
      <w:r>
        <w:rPr>
          <w:rFonts w:hint="eastAsia" w:ascii="宋体" w:hAnsi="宋体" w:cs="宋体"/>
          <w:sz w:val="24"/>
          <w:szCs w:val="24"/>
        </w:rPr>
        <w:t xml:space="preserve">描述了VR和AR中的非对称协同操纵。 </w:t>
      </w:r>
      <w:r>
        <w:rPr>
          <w:rFonts w:hint="eastAsia" w:ascii="宋体" w:hAnsi="宋体" w:cs="宋体"/>
          <w:sz w:val="24"/>
          <w:szCs w:val="24"/>
        </w:rPr>
        <w:fldChar w:fldCharType="begin"/>
      </w:r>
      <w:r>
        <w:rPr>
          <w:rFonts w:hint="eastAsia" w:ascii="宋体" w:hAnsi="宋体" w:cs="宋体"/>
          <w:sz w:val="24"/>
          <w:szCs w:val="24"/>
        </w:rPr>
        <w:instrText xml:space="preserve"> REF _Ref96716493 \h </w:instrText>
      </w:r>
      <w:r>
        <w:rPr>
          <w:rFonts w:ascii="宋体" w:hAnsi="宋体" w:cs="宋体"/>
          <w:sz w:val="24"/>
          <w:szCs w:val="24"/>
        </w:rPr>
        <w:instrText xml:space="preserve"> \* MERGEFORMAT </w:instrText>
      </w:r>
      <w:r>
        <w:rPr>
          <w:rFonts w:hint="eastAsia" w:ascii="宋体" w:hAnsi="宋体" w:cs="宋体"/>
          <w:sz w:val="24"/>
          <w:szCs w:val="24"/>
        </w:rPr>
        <w:fldChar w:fldCharType="separate"/>
      </w:r>
      <w:r>
        <w:rPr>
          <w:rFonts w:hint="eastAsia" w:ascii="宋体" w:hAnsi="宋体" w:cs="宋体"/>
          <w:b/>
          <w:sz w:val="24"/>
          <w:szCs w:val="24"/>
        </w:rPr>
        <w:t>图 1</w:t>
      </w:r>
      <w:r>
        <w:rPr>
          <w:rFonts w:hint="eastAsia" w:ascii="宋体" w:hAnsi="宋体" w:cs="宋体"/>
          <w:sz w:val="24"/>
          <w:szCs w:val="24"/>
        </w:rPr>
        <w:fldChar w:fldCharType="end"/>
      </w:r>
      <w:r>
        <w:rPr>
          <w:rFonts w:hint="eastAsia" w:ascii="宋体" w:hAnsi="宋体" w:cs="宋体"/>
          <w:sz w:val="24"/>
          <w:szCs w:val="24"/>
        </w:rPr>
        <w:t>所示，两个用户协同操纵对象，一个在 VR 中，一个在 AR 中。他们还将这种非对称 协同操纵与对称协同操纵进行了比较，即两个用户都在 VR 中或两个用户都在AR中。一些研究集中在如何在当前帧，在多个用户间，确定哪一个或多个用户操纵对象。</w:t>
      </w:r>
    </w:p>
    <w:p>
      <w:pPr>
        <w:keepNext/>
        <w:spacing w:line="360" w:lineRule="auto"/>
        <w:jc w:val="both"/>
        <w:rPr>
          <w:rFonts w:ascii="宋体" w:hAnsi="宋体" w:cs="宋体"/>
          <w:sz w:val="24"/>
          <w:szCs w:val="24"/>
        </w:rPr>
      </w:pPr>
      <w:r>
        <w:rPr>
          <w:rFonts w:hint="eastAsia" w:ascii="宋体" w:hAnsi="宋体" w:cs="宋体"/>
          <w:sz w:val="24"/>
          <w:szCs w:val="24"/>
        </w:rPr>
        <w:drawing>
          <wp:anchor distT="0" distB="0" distL="0" distR="0" simplePos="0" relativeHeight="251659264" behindDoc="0" locked="0" layoutInCell="1" allowOverlap="1">
            <wp:simplePos x="0" y="0"/>
            <wp:positionH relativeFrom="column">
              <wp:posOffset>1257300</wp:posOffset>
            </wp:positionH>
            <wp:positionV relativeFrom="paragraph">
              <wp:posOffset>554355</wp:posOffset>
            </wp:positionV>
            <wp:extent cx="3674110" cy="302895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
                    <a:stretch>
                      <a:fillRect/>
                    </a:stretch>
                  </pic:blipFill>
                  <pic:spPr>
                    <a:xfrm>
                      <a:off x="0" y="0"/>
                      <a:ext cx="3674110" cy="3028950"/>
                    </a:xfrm>
                    <a:prstGeom prst="rect">
                      <a:avLst/>
                    </a:prstGeom>
                  </pic:spPr>
                </pic:pic>
              </a:graphicData>
            </a:graphic>
          </wp:anchor>
        </w:drawing>
      </w:r>
    </w:p>
    <w:p>
      <w:pPr>
        <w:pStyle w:val="6"/>
        <w:spacing w:line="360" w:lineRule="auto"/>
        <w:ind w:firstLine="482" w:firstLineChars="200"/>
        <w:rPr>
          <w:rFonts w:ascii="宋体" w:hAnsi="宋体" w:cs="宋体"/>
          <w:b/>
          <w:sz w:val="24"/>
          <w:szCs w:val="24"/>
        </w:rPr>
      </w:pPr>
      <w:bookmarkStart w:id="7" w:name="_Ref96716493"/>
      <w:bookmarkStart w:id="8" w:name="_Toc96937995"/>
      <w:r>
        <w:rPr>
          <w:rFonts w:hint="eastAsia" w:ascii="宋体" w:hAnsi="宋体" w:cs="宋体"/>
          <w:b/>
          <w:sz w:val="24"/>
          <w:szCs w:val="24"/>
        </w:rPr>
        <w:t xml:space="preserve">图 </w:t>
      </w:r>
      <w:r>
        <w:rPr>
          <w:rFonts w:hint="eastAsia" w:ascii="宋体" w:hAnsi="宋体" w:cs="宋体"/>
          <w:b/>
          <w:sz w:val="24"/>
          <w:szCs w:val="24"/>
        </w:rPr>
        <w:fldChar w:fldCharType="begin"/>
      </w:r>
      <w:r>
        <w:rPr>
          <w:rFonts w:hint="eastAsia" w:ascii="宋体" w:hAnsi="宋体" w:cs="宋体"/>
          <w:b/>
          <w:sz w:val="24"/>
          <w:szCs w:val="24"/>
        </w:rPr>
        <w:instrText xml:space="preserve"> SEQ 图 \* ARABIC </w:instrText>
      </w:r>
      <w:r>
        <w:rPr>
          <w:rFonts w:hint="eastAsia" w:ascii="宋体" w:hAnsi="宋体" w:cs="宋体"/>
          <w:b/>
          <w:sz w:val="24"/>
          <w:szCs w:val="24"/>
        </w:rPr>
        <w:fldChar w:fldCharType="separate"/>
      </w:r>
      <w:r>
        <w:rPr>
          <w:rFonts w:hint="eastAsia" w:ascii="宋体" w:hAnsi="宋体" w:cs="宋体"/>
          <w:b/>
          <w:sz w:val="24"/>
          <w:szCs w:val="24"/>
        </w:rPr>
        <w:t>1</w:t>
      </w:r>
      <w:r>
        <w:rPr>
          <w:rFonts w:hint="eastAsia" w:ascii="宋体" w:hAnsi="宋体" w:cs="宋体"/>
          <w:b/>
          <w:sz w:val="24"/>
          <w:szCs w:val="24"/>
        </w:rPr>
        <w:fldChar w:fldCharType="end"/>
      </w:r>
      <w:bookmarkEnd w:id="7"/>
      <w:r>
        <w:rPr>
          <w:rFonts w:hint="eastAsia" w:ascii="宋体" w:hAnsi="宋体" w:cs="宋体"/>
          <w:b/>
          <w:sz w:val="24"/>
          <w:szCs w:val="24"/>
        </w:rPr>
        <w:t xml:space="preserve"> VR-AR非对称协同操纵方法</w:t>
      </w:r>
      <w:bookmarkEnd w:id="8"/>
    </w:p>
    <w:p>
      <w:pPr>
        <w:spacing w:line="360" w:lineRule="auto"/>
        <w:ind w:firstLine="480" w:firstLineChars="200"/>
      </w:pPr>
      <w:r>
        <w:rPr>
          <w:rFonts w:hint="eastAsia" w:ascii="宋体" w:hAnsi="宋体" w:cs="宋体"/>
          <w:sz w:val="24"/>
          <w:szCs w:val="24"/>
        </w:rPr>
        <w:t>协同操纵的难点在于如何在多个用户之间进行协作。协同操纵的直观方法是先到先操纵和主动切换优势。先到先操纵是指当多个用户在给定的帧中操纵同一个对象时，第一个被检测到被操纵的用户有权操纵该对象，而其他用户的操纵无效。主动切换优势是指非优势用户在认为自己的观点优于优势操纵者的观点时，可以主动切换优势。这两种方法简单易实现，但没有考虑到所有用户的观点质量，所以效率和准确率还有待提高。拉格斯等人</w:t>
      </w:r>
      <w:r>
        <w:rPr>
          <w:rFonts w:hint="eastAsia" w:ascii="宋体" w:hAnsi="宋体" w:cs="宋体"/>
          <w:sz w:val="24"/>
          <w:szCs w:val="24"/>
        </w:rPr>
        <w:fldChar w:fldCharType="begin"/>
      </w:r>
      <w:r>
        <w:rPr>
          <w:rFonts w:hint="eastAsia" w:ascii="宋体" w:hAnsi="宋体" w:cs="宋体"/>
          <w:sz w:val="24"/>
          <w:szCs w:val="24"/>
        </w:rPr>
        <w:instrText xml:space="preserve"> REF _Ref96437405 \r \h  \* MERGEFORMAT </w:instrText>
      </w:r>
      <w:r>
        <w:rPr>
          <w:rFonts w:hint="eastAsia" w:ascii="宋体" w:hAnsi="宋体" w:cs="宋体"/>
          <w:sz w:val="24"/>
          <w:szCs w:val="24"/>
        </w:rPr>
        <w:fldChar w:fldCharType="separate"/>
      </w:r>
      <w:r>
        <w:rPr>
          <w:rFonts w:hint="eastAsia" w:ascii="宋体" w:hAnsi="宋体" w:cs="宋体"/>
          <w:sz w:val="24"/>
          <w:szCs w:val="24"/>
        </w:rPr>
        <w:t>[30]</w:t>
      </w:r>
      <w:r>
        <w:rPr>
          <w:rFonts w:hint="eastAsia" w:ascii="宋体" w:hAnsi="宋体" w:cs="宋体"/>
          <w:sz w:val="24"/>
          <w:szCs w:val="24"/>
        </w:rPr>
        <w:fldChar w:fldCharType="end"/>
      </w:r>
      <w:r>
        <w:rPr>
          <w:rFonts w:hint="eastAsia" w:ascii="宋体" w:hAnsi="宋体" w:cs="宋体"/>
          <w:sz w:val="24"/>
          <w:szCs w:val="24"/>
        </w:rPr>
        <w:t>提出了一种在协作操纵过程中手动指定主导机械手的方法。该方法将用户分配给导演角色，导演可以观察整个场景和所有协作用户的位置，然后手动指定谁是当前帧中的主导操纵者。这种方法的问题在于，导演的经验直接影响主导操纵者的分配。王</w:t>
      </w:r>
      <w:r>
        <w:rPr>
          <w:rFonts w:ascii="宋体" w:hAnsi="宋体" w:cs="宋体"/>
          <w:sz w:val="24"/>
          <w:szCs w:val="24"/>
        </w:rPr>
        <w:fldChar w:fldCharType="begin"/>
      </w:r>
      <w:r>
        <w:rPr>
          <w:rFonts w:ascii="宋体" w:hAnsi="宋体" w:cs="宋体"/>
          <w:sz w:val="24"/>
          <w:szCs w:val="24"/>
        </w:rPr>
        <w:instrText xml:space="preserve"> </w:instrText>
      </w:r>
      <w:r>
        <w:rPr>
          <w:rFonts w:hint="eastAsia" w:ascii="宋体" w:hAnsi="宋体" w:cs="宋体"/>
          <w:sz w:val="24"/>
          <w:szCs w:val="24"/>
        </w:rPr>
        <w:instrText xml:space="preserve">REF _Ref97078294 \r \h</w:instrText>
      </w:r>
      <w:r>
        <w:rPr>
          <w:rFonts w:ascii="宋体" w:hAnsi="宋体" w:cs="宋体"/>
          <w:sz w:val="24"/>
          <w:szCs w:val="24"/>
        </w:rPr>
        <w:instrText xml:space="preserve">  \* MERGEFORMAT </w:instrText>
      </w:r>
      <w:r>
        <w:rPr>
          <w:rFonts w:ascii="宋体" w:hAnsi="宋体" w:cs="宋体"/>
          <w:sz w:val="24"/>
          <w:szCs w:val="24"/>
        </w:rPr>
        <w:fldChar w:fldCharType="separate"/>
      </w:r>
      <w:r>
        <w:rPr>
          <w:rFonts w:ascii="宋体" w:hAnsi="宋体" w:cs="宋体"/>
          <w:sz w:val="24"/>
          <w:szCs w:val="24"/>
        </w:rPr>
        <w:t>[31]</w:t>
      </w:r>
      <w:r>
        <w:rPr>
          <w:rFonts w:ascii="宋体" w:hAnsi="宋体" w:cs="宋体"/>
          <w:sz w:val="24"/>
          <w:szCs w:val="24"/>
        </w:rPr>
        <w:fldChar w:fldCharType="end"/>
      </w:r>
      <w:r>
        <w:rPr>
          <w:rFonts w:hint="eastAsia" w:ascii="宋体" w:hAnsi="宋体" w:cs="宋体"/>
          <w:sz w:val="24"/>
          <w:szCs w:val="24"/>
        </w:rPr>
        <w:t xml:space="preserve">通过视点质量度量的方法来决定多个用户如何协同操纵对象，但是没考虑不同的视点适合不同的操纵类型，可能会对操纵效率和精度有影响。我们通过自适应分配操纵类型的方法决定用户在当前帧适合那类型的操纵。 </w:t>
      </w:r>
    </w:p>
    <w:p>
      <w:pPr>
        <w:pStyle w:val="6"/>
        <w:spacing w:line="360" w:lineRule="auto"/>
        <w:ind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rPr>
        <w:drawing>
          <wp:anchor distT="0" distB="0" distL="114300" distR="114300" simplePos="0" relativeHeight="251660288" behindDoc="0" locked="0" layoutInCell="1" allowOverlap="1">
            <wp:simplePos x="0" y="0"/>
            <wp:positionH relativeFrom="margin">
              <wp:posOffset>-23495</wp:posOffset>
            </wp:positionH>
            <wp:positionV relativeFrom="paragraph">
              <wp:posOffset>108585</wp:posOffset>
            </wp:positionV>
            <wp:extent cx="5759450" cy="17430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59450" cy="1743075"/>
                    </a:xfrm>
                    <a:prstGeom prst="rect">
                      <a:avLst/>
                    </a:prstGeom>
                  </pic:spPr>
                </pic:pic>
              </a:graphicData>
            </a:graphic>
          </wp:anchor>
        </w:drawing>
      </w:r>
      <w:r>
        <w:rPr>
          <w:rFonts w:hint="eastAsia" w:ascii="宋体" w:hAnsi="宋体" w:eastAsia="宋体" w:cs="宋体"/>
          <w:b/>
          <w:bCs/>
          <w:sz w:val="24"/>
          <w:szCs w:val="24"/>
        </w:rPr>
        <w:t xml:space="preserve">图 </w:t>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SEQ 图 \* ARABIC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eastAsia="zh-CN"/>
        </w:rPr>
        <w:t xml:space="preserve"> 基于视点质量的多人协同对象操纵方法</w:t>
      </w:r>
    </w:p>
    <w:p>
      <w:pPr>
        <w:widowControl/>
        <w:spacing w:line="360" w:lineRule="auto"/>
        <w:ind w:firstLine="480" w:firstLineChars="200"/>
        <w:jc w:val="left"/>
        <w:rPr>
          <w:rFonts w:ascii="宋体" w:hAnsi="宋体" w:cs="宋体"/>
          <w:sz w:val="24"/>
          <w:szCs w:val="24"/>
        </w:rPr>
      </w:pPr>
      <w:r>
        <w:rPr>
          <w:rFonts w:hint="eastAsia" w:ascii="宋体" w:hAnsi="宋体" w:cs="宋体"/>
          <w:sz w:val="24"/>
          <w:szCs w:val="24"/>
        </w:rPr>
        <w:br w:type="page"/>
      </w:r>
    </w:p>
    <w:p>
      <w:pPr>
        <w:pStyle w:val="2"/>
        <w:numPr>
          <w:ilvl w:val="0"/>
          <w:numId w:val="1"/>
        </w:numPr>
        <w:spacing w:line="360" w:lineRule="auto"/>
      </w:pPr>
      <w:bookmarkStart w:id="9" w:name="_Toc18225"/>
      <w:r>
        <w:t>论文的研究内容</w:t>
      </w:r>
      <w:bookmarkEnd w:id="6"/>
      <w:r>
        <w:rPr>
          <w:rFonts w:hint="eastAsia"/>
        </w:rPr>
        <w:t>与已完成的工作</w:t>
      </w:r>
      <w:bookmarkEnd w:id="9"/>
    </w:p>
    <w:p>
      <w:pPr>
        <w:pStyle w:val="4"/>
        <w:spacing w:line="360" w:lineRule="auto"/>
        <w:ind w:firstLine="480"/>
        <w:rPr>
          <w:rFonts w:ascii="宋体" w:hAnsi="宋体"/>
          <w:sz w:val="24"/>
          <w:szCs w:val="24"/>
        </w:rPr>
      </w:pPr>
      <w:r>
        <w:rPr>
          <w:rFonts w:hint="eastAsia" w:ascii="宋体" w:hAnsi="宋体"/>
          <w:sz w:val="24"/>
          <w:szCs w:val="24"/>
        </w:rPr>
        <w:t>在多人协同的工作中有一部分集中在操纵对象操纵类型的分离提高对象操纵的效率和精度：一个用户只负责平移对象，其他用户负责旋转对象。但是在对象操纵的过程中不同的用户适合操纵的操纵类型是不同的，目前的方法不能够及时的将操纵对象的某个操纵操纵类型和适合某个操纵类型的视点给合适的用户。我们通过在虚拟场景中的可行走区域进行采样和优化形成实时协同操纵多人TRS场的视点位置，建立TRS三个分量的度量函数，并在TRS场的每个视点进行更新，通过实时更新可视的场进行可视化，指导多个用户在虚拟场景中实现高效的对象操纵。</w:t>
      </w:r>
    </w:p>
    <w:p>
      <w:pPr>
        <w:pStyle w:val="4"/>
        <w:spacing w:line="360" w:lineRule="auto"/>
        <w:ind w:firstLine="480"/>
        <w:rPr>
          <w:rFonts w:hint="eastAsia" w:ascii="宋体" w:hAnsi="宋体"/>
          <w:sz w:val="24"/>
          <w:szCs w:val="24"/>
        </w:rPr>
      </w:pPr>
      <w:r>
        <w:rPr>
          <w:rFonts w:hint="eastAsia" w:ascii="宋体" w:hAnsi="宋体"/>
          <w:sz w:val="24"/>
          <w:szCs w:val="24"/>
        </w:rPr>
        <w:t>虚拟现实协同操纵TRS场的设计与实现的主要研究内容如</w:t>
      </w:r>
      <w:r>
        <w:rPr>
          <w:rFonts w:hint="eastAsia" w:ascii="宋体" w:hAnsi="宋体"/>
          <w:sz w:val="24"/>
          <w:szCs w:val="24"/>
        </w:rPr>
        <w:fldChar w:fldCharType="begin"/>
      </w:r>
      <w:r>
        <w:rPr>
          <w:rFonts w:hint="eastAsia" w:ascii="宋体" w:hAnsi="宋体"/>
          <w:sz w:val="24"/>
          <w:szCs w:val="24"/>
        </w:rPr>
        <w:instrText xml:space="preserve"> REF _Ref96717348 \h </w:instrText>
      </w:r>
      <w:r>
        <w:rPr>
          <w:rFonts w:hint="eastAsia" w:ascii="宋体" w:hAnsi="宋体"/>
          <w:sz w:val="24"/>
          <w:szCs w:val="24"/>
        </w:rPr>
        <w:fldChar w:fldCharType="separate"/>
      </w:r>
      <w:r>
        <w:rPr>
          <w:rFonts w:hint="eastAsia" w:ascii="宋体" w:hAnsi="宋体" w:cs="宋体"/>
          <w:b/>
          <w:sz w:val="24"/>
          <w:szCs w:val="24"/>
        </w:rPr>
        <w:t>图 3</w:t>
      </w:r>
      <w:r>
        <w:rPr>
          <w:rFonts w:hint="eastAsia" w:ascii="宋体" w:hAnsi="宋体"/>
          <w:sz w:val="24"/>
          <w:szCs w:val="24"/>
        </w:rPr>
        <w:fldChar w:fldCharType="end"/>
      </w:r>
      <w:r>
        <w:rPr>
          <w:rFonts w:hint="eastAsia" w:ascii="宋体" w:hAnsi="宋体"/>
          <w:sz w:val="24"/>
          <w:szCs w:val="24"/>
        </w:rPr>
        <w:t>，主要分为四部分：操纵导航场视点采样；实时更新TRS操纵导航场，操纵TRS场的可视化的实现；用户研究。通过该实时操纵导航TRS场的可视化指导提高虚拟现实多人协同对象的操纵效率和精度。</w:t>
      </w:r>
    </w:p>
    <w:p>
      <w:pPr>
        <w:pStyle w:val="4"/>
        <w:spacing w:line="360" w:lineRule="auto"/>
        <w:ind w:firstLine="480"/>
        <w:rPr>
          <w:rFonts w:hint="eastAsia" w:ascii="宋体" w:hAnsi="宋体" w:cs="宋体"/>
          <w:sz w:val="24"/>
          <w:szCs w:val="24"/>
        </w:rPr>
      </w:pPr>
      <w:r>
        <w:rPr>
          <w:rFonts w:ascii="宋体" w:hAnsi="宋体" w:cs="宋体"/>
          <w:sz w:val="24"/>
          <w:szCs w:val="24"/>
        </w:rPr>
        <w:drawing>
          <wp:inline distT="0" distB="0" distL="0" distR="0">
            <wp:extent cx="5768975" cy="2522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81525" cy="2527805"/>
                    </a:xfrm>
                    <a:prstGeom prst="rect">
                      <a:avLst/>
                    </a:prstGeom>
                    <a:noFill/>
                  </pic:spPr>
                </pic:pic>
              </a:graphicData>
            </a:graphic>
          </wp:inline>
        </w:drawing>
      </w:r>
    </w:p>
    <w:p>
      <w:pPr>
        <w:pStyle w:val="6"/>
        <w:spacing w:line="360" w:lineRule="auto"/>
        <w:ind w:firstLine="482" w:firstLineChars="200"/>
        <w:rPr>
          <w:rFonts w:hint="eastAsia" w:ascii="宋体" w:hAnsi="宋体" w:cs="宋体"/>
          <w:b/>
          <w:sz w:val="24"/>
          <w:szCs w:val="24"/>
        </w:rPr>
      </w:pPr>
      <w:bookmarkStart w:id="10" w:name="_Ref96717348"/>
      <w:bookmarkStart w:id="11" w:name="_Toc96938004"/>
      <w:r>
        <w:rPr>
          <w:rFonts w:hint="eastAsia" w:ascii="宋体" w:hAnsi="宋体" w:cs="宋体"/>
          <w:b/>
          <w:sz w:val="24"/>
          <w:szCs w:val="24"/>
        </w:rPr>
        <w:t xml:space="preserve">图 </w:t>
      </w:r>
      <w:r>
        <w:rPr>
          <w:rFonts w:hint="eastAsia" w:ascii="宋体" w:hAnsi="宋体" w:cs="宋体"/>
          <w:b/>
          <w:sz w:val="24"/>
          <w:szCs w:val="24"/>
        </w:rPr>
        <w:fldChar w:fldCharType="begin"/>
      </w:r>
      <w:r>
        <w:rPr>
          <w:rFonts w:hint="eastAsia" w:ascii="宋体" w:hAnsi="宋体" w:cs="宋体"/>
          <w:b/>
          <w:sz w:val="24"/>
          <w:szCs w:val="24"/>
        </w:rPr>
        <w:instrText xml:space="preserve"> SEQ 图 \* ARABIC </w:instrText>
      </w:r>
      <w:r>
        <w:rPr>
          <w:rFonts w:hint="eastAsia" w:ascii="宋体" w:hAnsi="宋体" w:cs="宋体"/>
          <w:b/>
          <w:sz w:val="24"/>
          <w:szCs w:val="24"/>
        </w:rPr>
        <w:fldChar w:fldCharType="separate"/>
      </w:r>
      <w:r>
        <w:rPr>
          <w:rFonts w:hint="eastAsia" w:ascii="宋体" w:hAnsi="宋体" w:cs="宋体"/>
          <w:b/>
          <w:sz w:val="24"/>
          <w:szCs w:val="24"/>
        </w:rPr>
        <w:t>3</w:t>
      </w:r>
      <w:r>
        <w:rPr>
          <w:rFonts w:hint="eastAsia" w:ascii="宋体" w:hAnsi="宋体" w:cs="宋体"/>
          <w:b/>
          <w:sz w:val="24"/>
          <w:szCs w:val="24"/>
        </w:rPr>
        <w:fldChar w:fldCharType="end"/>
      </w:r>
      <w:bookmarkEnd w:id="10"/>
      <w:r>
        <w:rPr>
          <w:rFonts w:hint="eastAsia" w:ascii="宋体" w:hAnsi="宋体" w:cs="宋体"/>
          <w:b/>
          <w:sz w:val="24"/>
          <w:szCs w:val="24"/>
        </w:rPr>
        <w:t>虚拟现实协同操纵TRS场的设计与实现方法技术路线</w:t>
      </w:r>
      <w:bookmarkEnd w:id="11"/>
    </w:p>
    <w:p>
      <w:pPr>
        <w:pStyle w:val="3"/>
        <w:tabs>
          <w:tab w:val="clear" w:pos="927"/>
        </w:tabs>
        <w:ind w:left="0" w:firstLine="0"/>
      </w:pPr>
      <w:bookmarkStart w:id="12" w:name="_Toc99476112"/>
      <w:bookmarkStart w:id="13" w:name="_Toc23833"/>
      <w:r>
        <w:rPr>
          <w:rFonts w:hint="eastAsia"/>
        </w:rPr>
        <w:t>3</w:t>
      </w:r>
      <w:r>
        <w:t xml:space="preserve">.1 </w:t>
      </w:r>
      <w:r>
        <w:rPr>
          <w:rFonts w:hint="eastAsia"/>
        </w:rPr>
        <w:t>研究内容</w:t>
      </w:r>
      <w:bookmarkEnd w:id="12"/>
      <w:bookmarkEnd w:id="13"/>
    </w:p>
    <w:p>
      <w:pPr>
        <w:pStyle w:val="4"/>
        <w:numPr>
          <w:ilvl w:val="0"/>
          <w:numId w:val="2"/>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操</w:t>
      </w:r>
      <w:r>
        <w:rPr>
          <w:rFonts w:hint="eastAsia" w:ascii="宋体" w:hAnsi="宋体" w:eastAsia="宋体" w:cs="宋体"/>
          <w:sz w:val="24"/>
          <w:szCs w:val="24"/>
          <w:lang w:val="en-US" w:eastAsia="zh-CN"/>
        </w:rPr>
        <w:t>纵</w:t>
      </w:r>
      <w:r>
        <w:rPr>
          <w:rFonts w:hint="eastAsia" w:ascii="宋体" w:hAnsi="宋体" w:eastAsia="宋体" w:cs="宋体"/>
          <w:sz w:val="24"/>
          <w:szCs w:val="24"/>
        </w:rPr>
        <w:t>导航场视点采样：该研究内容的第一点是对场景中用户可行走区域进行划分，只有在用户可行走区域上构建场，对用户来说才是有效场；第二点是如何基于用户可行走区域进行采样，包括采样策略的设计，采样点是否在可行走区域内的判断；第三点是如何对采样点进行优化，如果使用较多采样点，将导致帧率的下降，用户的体验感和实时性便得不到保证。主要难点为预处理策略的选择</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预处理的好坏决定了整个场在操纵全过程中的效果</w:t>
      </w:r>
      <w:r>
        <w:rPr>
          <w:rFonts w:hint="eastAsia" w:ascii="宋体" w:hAnsi="宋体" w:eastAsia="宋体" w:cs="宋体"/>
          <w:sz w:val="24"/>
          <w:szCs w:val="24"/>
        </w:rPr>
        <w:t>。第四点是采样点的实时性更新，如何保证帧率能够达到30fps。</w:t>
      </w:r>
    </w:p>
    <w:p>
      <w:pPr>
        <w:pStyle w:val="4"/>
        <w:numPr>
          <w:ilvl w:val="0"/>
          <w:numId w:val="2"/>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实时更新TRS操纵导航场：视点中的TRS三个值为三种操纵类型主要依据是用户视点下的目标和对象之间的距离，角度和投影面积。在操纵导航场中的每个视点都度量object-target视觉度量，度量被操纵对象与目标之间的距离d、角度θ和投影面积p的关系。通过视觉度量三元组（d，θ，p）度量操纵导航场每个视点下适合那类型操纵。对象的操纵类型分为平移，旋转和缩放。平移操纵的度量分数与视觉反馈中操纵对象和目标之间的距离呈成正相关，旋转操纵的度量分数与视觉反馈中操纵对象和目标之间的角度差呈正相关，缩放操纵度量分数与视觉反馈中操纵对象和目标之间的面积比呈正相关。基于此我们需要构建三个操纵类型分配函数实时更新TRS场：平移操纵类型度量函数，旋转操纵类型度量函数和缩放操纵类型度量函数。其中视点质量的度量</w:t>
      </w:r>
      <m:oMath>
        <m:r>
          <m:rPr/>
          <w:rPr>
            <w:rFonts w:hint="eastAsia" w:ascii="Cambria Math" w:hAnsi="Cambria Math" w:eastAsia="宋体" w:cs="宋体"/>
            <w:sz w:val="24"/>
            <w:szCs w:val="24"/>
          </w:rPr>
          <m:t>VQ</m:t>
        </m:r>
      </m:oMath>
      <w:r>
        <w:rPr>
          <w:rFonts w:hint="eastAsia" w:ascii="宋体" w:hAnsi="宋体" w:eastAsia="宋体" w:cs="宋体"/>
          <w:sz w:val="24"/>
          <w:szCs w:val="24"/>
        </w:rPr>
        <w:t>采用</w:t>
      </w:r>
      <w:r>
        <w:rPr>
          <w:rFonts w:hint="eastAsia" w:ascii="宋体" w:hAnsi="宋体" w:cs="宋体"/>
          <w:sz w:val="24"/>
          <w:szCs w:val="24"/>
          <w:lang w:val="en-US" w:eastAsia="zh-CN"/>
        </w:rPr>
        <w:t>之前研究工作</w:t>
      </w:r>
      <w:r>
        <w:rPr>
          <w:rFonts w:hint="eastAsia" w:ascii="宋体" w:hAnsi="宋体" w:eastAsia="宋体" w:cs="宋体"/>
          <w:sz w:val="24"/>
          <w:szCs w:val="24"/>
        </w:rPr>
        <w:t>的视点质量函数进行计算.</w:t>
      </w:r>
    </w:p>
    <w:p>
      <w:pPr>
        <w:pStyle w:val="4"/>
        <w:ind w:firstLine="480"/>
        <w:rPr>
          <w:rFonts w:hint="eastAsia" w:ascii="宋体" w:hAnsi="宋体" w:eastAsia="宋体" w:cs="宋体"/>
          <w:sz w:val="24"/>
          <w:szCs w:val="24"/>
        </w:rPr>
      </w:pPr>
      <m:oMathPara>
        <m:oMath>
          <m:r>
            <m:rPr>
              <m:sty m:val="p"/>
            </m:rPr>
            <w:rPr>
              <w:rFonts w:hint="eastAsia" w:ascii="Cambria Math" w:hAnsi="Cambria Math" w:eastAsia="宋体" w:cs="宋体"/>
              <w:color w:val="000000" w:themeColor="text1"/>
              <w:sz w:val="24"/>
              <w:szCs w:val="24"/>
              <w14:textFill>
                <w14:solidFill>
                  <w14:schemeClr w14:val="tx1"/>
                </w14:solidFill>
              </w14:textFill>
            </w:rPr>
            <m:t>VQ </m:t>
          </m:r>
          <m:r>
            <m:rPr/>
            <w:rPr>
              <w:rFonts w:hint="eastAsia" w:ascii="Cambria Math" w:hAnsi="Cambria Math" w:eastAsia="宋体" w:cs="宋体"/>
              <w:color w:val="000000" w:themeColor="text1"/>
              <w:sz w:val="24"/>
              <w:szCs w:val="24"/>
              <w14:textFill>
                <w14:solidFill>
                  <w14:schemeClr w14:val="tx1"/>
                </w14:solidFill>
              </w14:textFill>
            </w:rPr>
            <m:t>= α•</m:t>
          </m:r>
          <m:f>
            <m:fPr>
              <m:ctrlPr>
                <w:rPr>
                  <w:rFonts w:hint="eastAsia" w:ascii="Cambria Math" w:hAnsi="Cambria Math" w:eastAsia="宋体" w:cs="宋体"/>
                  <w:i/>
                  <w:iCs/>
                  <w:color w:val="000000" w:themeColor="text1"/>
                  <w:sz w:val="24"/>
                  <w:szCs w:val="24"/>
                  <w14:textFill>
                    <w14:solidFill>
                      <w14:schemeClr w14:val="tx1"/>
                    </w14:solidFill>
                  </w14:textFill>
                </w:rPr>
              </m:ctrlPr>
            </m:fPr>
            <m:num>
              <m:sSub>
                <m:sSubPr>
                  <m:ctrlPr>
                    <w:rPr>
                      <w:rFonts w:hint="eastAsia" w:ascii="Cambria Math" w:hAnsi="Cambria Math" w:eastAsia="宋体" w:cs="宋体"/>
                      <w:i/>
                      <w:iCs/>
                      <w:color w:val="000000" w:themeColor="text1"/>
                      <w:sz w:val="24"/>
                      <w:szCs w:val="24"/>
                      <w14:textFill>
                        <w14:solidFill>
                          <w14:schemeClr w14:val="tx1"/>
                        </w14:solidFill>
                      </w14:textFill>
                    </w:rPr>
                  </m:ctrlPr>
                </m:sSubPr>
                <m:e>
                  <m:r>
                    <m:rPr/>
                    <w:rPr>
                      <w:rFonts w:hint="eastAsia" w:ascii="Cambria Math" w:hAnsi="Cambria Math" w:eastAsia="宋体" w:cs="宋体"/>
                      <w:color w:val="000000" w:themeColor="text1"/>
                      <w:sz w:val="24"/>
                      <w:szCs w:val="24"/>
                      <w14:textFill>
                        <w14:solidFill>
                          <w14:schemeClr w14:val="tx1"/>
                        </w14:solidFill>
                      </w14:textFill>
                    </w:rPr>
                    <m:t>S</m:t>
                  </m:r>
                  <m:ctrlPr>
                    <w:rPr>
                      <w:rFonts w:hint="eastAsia" w:ascii="Cambria Math" w:hAnsi="Cambria Math" w:eastAsia="宋体" w:cs="宋体"/>
                      <w:i/>
                      <w:iCs/>
                      <w:color w:val="000000" w:themeColor="text1"/>
                      <w:sz w:val="24"/>
                      <w:szCs w:val="24"/>
                      <w14:textFill>
                        <w14:solidFill>
                          <w14:schemeClr w14:val="tx1"/>
                        </w14:solidFill>
                      </w14:textFill>
                    </w:rPr>
                  </m:ctrlPr>
                </m:e>
                <m:sub>
                  <m:r>
                    <m:rPr/>
                    <w:rPr>
                      <w:rFonts w:hint="eastAsia" w:ascii="Cambria Math" w:hAnsi="Cambria Math" w:eastAsia="宋体" w:cs="宋体"/>
                      <w:color w:val="000000" w:themeColor="text1"/>
                      <w:sz w:val="24"/>
                      <w:szCs w:val="24"/>
                      <w14:textFill>
                        <w14:solidFill>
                          <w14:schemeClr w14:val="tx1"/>
                        </w14:solidFill>
                      </w14:textFill>
                    </w:rPr>
                    <m:t>vo</m:t>
                  </m:r>
                  <m:ctrlPr>
                    <w:rPr>
                      <w:rFonts w:hint="eastAsia" w:ascii="Cambria Math" w:hAnsi="Cambria Math" w:eastAsia="宋体" w:cs="宋体"/>
                      <w:i/>
                      <w:iCs/>
                      <w:color w:val="000000" w:themeColor="text1"/>
                      <w:sz w:val="24"/>
                      <w:szCs w:val="24"/>
                      <w14:textFill>
                        <w14:solidFill>
                          <w14:schemeClr w14:val="tx1"/>
                        </w14:solidFill>
                      </w14:textFill>
                    </w:rPr>
                  </m:ctrlPr>
                </m:sub>
              </m:sSub>
              <m:ctrlPr>
                <w:rPr>
                  <w:rFonts w:hint="eastAsia" w:ascii="Cambria Math" w:hAnsi="Cambria Math" w:eastAsia="宋体" w:cs="宋体"/>
                  <w:i/>
                  <w:iCs/>
                  <w:color w:val="000000" w:themeColor="text1"/>
                  <w:sz w:val="24"/>
                  <w:szCs w:val="24"/>
                  <w14:textFill>
                    <w14:solidFill>
                      <w14:schemeClr w14:val="tx1"/>
                    </w14:solidFill>
                  </w14:textFill>
                </w:rPr>
              </m:ctrlPr>
            </m:num>
            <m:den>
              <m:sSub>
                <m:sSubPr>
                  <m:ctrlPr>
                    <w:rPr>
                      <w:rFonts w:hint="eastAsia" w:ascii="Cambria Math" w:hAnsi="Cambria Math" w:eastAsia="宋体" w:cs="宋体"/>
                      <w:i/>
                      <w:iCs/>
                      <w:color w:val="000000" w:themeColor="text1"/>
                      <w:sz w:val="24"/>
                      <w:szCs w:val="24"/>
                      <w14:textFill>
                        <w14:solidFill>
                          <w14:schemeClr w14:val="tx1"/>
                        </w14:solidFill>
                      </w14:textFill>
                    </w:rPr>
                  </m:ctrlPr>
                </m:sSubPr>
                <m:e>
                  <m:r>
                    <m:rPr/>
                    <w:rPr>
                      <w:rFonts w:hint="eastAsia" w:ascii="Cambria Math" w:hAnsi="Cambria Math" w:eastAsia="宋体" w:cs="宋体"/>
                      <w:color w:val="000000" w:themeColor="text1"/>
                      <w:sz w:val="24"/>
                      <w:szCs w:val="24"/>
                      <w14:textFill>
                        <w14:solidFill>
                          <w14:schemeClr w14:val="tx1"/>
                        </w14:solidFill>
                      </w14:textFill>
                    </w:rPr>
                    <m:t>S</m:t>
                  </m:r>
                  <m:ctrlPr>
                    <w:rPr>
                      <w:rFonts w:hint="eastAsia" w:ascii="Cambria Math" w:hAnsi="Cambria Math" w:eastAsia="宋体" w:cs="宋体"/>
                      <w:i/>
                      <w:iCs/>
                      <w:color w:val="000000" w:themeColor="text1"/>
                      <w:sz w:val="24"/>
                      <w:szCs w:val="24"/>
                      <w14:textFill>
                        <w14:solidFill>
                          <w14:schemeClr w14:val="tx1"/>
                        </w14:solidFill>
                      </w14:textFill>
                    </w:rPr>
                  </m:ctrlPr>
                </m:e>
                <m:sub>
                  <m:r>
                    <m:rPr/>
                    <w:rPr>
                      <w:rFonts w:hint="eastAsia" w:ascii="Cambria Math" w:hAnsi="Cambria Math" w:eastAsia="宋体" w:cs="宋体"/>
                      <w:color w:val="000000" w:themeColor="text1"/>
                      <w:sz w:val="24"/>
                      <w:szCs w:val="24"/>
                      <w14:textFill>
                        <w14:solidFill>
                          <w14:schemeClr w14:val="tx1"/>
                        </w14:solidFill>
                      </w14:textFill>
                    </w:rPr>
                    <m:t>oo</m:t>
                  </m:r>
                  <m:ctrlPr>
                    <w:rPr>
                      <w:rFonts w:hint="eastAsia" w:ascii="Cambria Math" w:hAnsi="Cambria Math" w:eastAsia="宋体" w:cs="宋体"/>
                      <w:i/>
                      <w:iCs/>
                      <w:color w:val="000000" w:themeColor="text1"/>
                      <w:sz w:val="24"/>
                      <w:szCs w:val="24"/>
                      <w14:textFill>
                        <w14:solidFill>
                          <w14:schemeClr w14:val="tx1"/>
                        </w14:solidFill>
                      </w14:textFill>
                    </w:rPr>
                  </m:ctrlPr>
                </m:sub>
              </m:sSub>
              <m:ctrlPr>
                <w:rPr>
                  <w:rFonts w:hint="eastAsia" w:ascii="Cambria Math" w:hAnsi="Cambria Math" w:eastAsia="宋体" w:cs="宋体"/>
                  <w:i/>
                  <w:iCs/>
                  <w:color w:val="000000" w:themeColor="text1"/>
                  <w:sz w:val="24"/>
                  <w:szCs w:val="24"/>
                  <w14:textFill>
                    <w14:solidFill>
                      <w14:schemeClr w14:val="tx1"/>
                    </w14:solidFill>
                  </w14:textFill>
                </w:rPr>
              </m:ctrlPr>
            </m:den>
          </m:f>
          <m:r>
            <m:rPr/>
            <w:rPr>
              <w:rFonts w:hint="eastAsia" w:ascii="Cambria Math" w:hAnsi="Cambria Math" w:eastAsia="宋体" w:cs="宋体"/>
              <w:color w:val="000000" w:themeColor="text1"/>
              <w:sz w:val="24"/>
              <w:szCs w:val="24"/>
              <w14:textFill>
                <w14:solidFill>
                  <w14:schemeClr w14:val="tx1"/>
                </w14:solidFill>
              </w14:textFill>
            </w:rPr>
            <m:t> + β•</m:t>
          </m:r>
          <m:f>
            <m:fPr>
              <m:ctrlPr>
                <w:rPr>
                  <w:rFonts w:hint="eastAsia" w:ascii="Cambria Math" w:hAnsi="Cambria Math" w:eastAsia="宋体" w:cs="宋体"/>
                  <w:i/>
                  <w:iCs/>
                  <w:color w:val="000000" w:themeColor="text1"/>
                  <w:sz w:val="24"/>
                  <w:szCs w:val="24"/>
                  <w14:textFill>
                    <w14:solidFill>
                      <w14:schemeClr w14:val="tx1"/>
                    </w14:solidFill>
                  </w14:textFill>
                </w:rPr>
              </m:ctrlPr>
            </m:fPr>
            <m:num>
              <m:sSub>
                <m:sSubPr>
                  <m:ctrlPr>
                    <w:rPr>
                      <w:rFonts w:hint="eastAsia" w:ascii="Cambria Math" w:hAnsi="Cambria Math" w:eastAsia="宋体" w:cs="宋体"/>
                      <w:i/>
                      <w:iCs/>
                      <w:color w:val="000000" w:themeColor="text1"/>
                      <w:sz w:val="24"/>
                      <w:szCs w:val="24"/>
                      <w14:textFill>
                        <w14:solidFill>
                          <w14:schemeClr w14:val="tx1"/>
                        </w14:solidFill>
                      </w14:textFill>
                    </w:rPr>
                  </m:ctrlPr>
                </m:sSubPr>
                <m:e>
                  <m:r>
                    <m:rPr>
                      <m:sty m:val="p"/>
                    </m:rPr>
                    <w:rPr>
                      <w:rFonts w:hint="eastAsia" w:ascii="Cambria Math" w:hAnsi="Cambria Math" w:eastAsia="宋体" w:cs="宋体"/>
                      <w:color w:val="000000" w:themeColor="text1"/>
                      <w:sz w:val="24"/>
                      <w:szCs w:val="24"/>
                      <w14:textFill>
                        <w14:solidFill>
                          <w14:schemeClr w14:val="tx1"/>
                        </w14:solidFill>
                      </w14:textFill>
                    </w:rPr>
                    <m:t>S</m:t>
                  </m:r>
                  <m:ctrlPr>
                    <w:rPr>
                      <w:rFonts w:hint="eastAsia" w:ascii="Cambria Math" w:hAnsi="Cambria Math" w:eastAsia="宋体" w:cs="宋体"/>
                      <w:i/>
                      <w:iCs/>
                      <w:color w:val="000000" w:themeColor="text1"/>
                      <w:sz w:val="24"/>
                      <w:szCs w:val="24"/>
                      <w14:textFill>
                        <w14:solidFill>
                          <w14:schemeClr w14:val="tx1"/>
                        </w14:solidFill>
                      </w14:textFill>
                    </w:rPr>
                  </m:ctrlPr>
                </m:e>
                <m:sub>
                  <m:r>
                    <m:rPr>
                      <m:sty m:val="p"/>
                    </m:rPr>
                    <w:rPr>
                      <w:rFonts w:hint="eastAsia" w:ascii="Cambria Math" w:hAnsi="Cambria Math" w:eastAsia="宋体" w:cs="宋体"/>
                      <w:color w:val="000000" w:themeColor="text1"/>
                      <w:sz w:val="24"/>
                      <w:szCs w:val="24"/>
                      <w14:textFill>
                        <w14:solidFill>
                          <w14:schemeClr w14:val="tx1"/>
                        </w14:solidFill>
                      </w14:textFill>
                    </w:rPr>
                    <m:t>vt</m:t>
                  </m:r>
                  <m:ctrlPr>
                    <w:rPr>
                      <w:rFonts w:hint="eastAsia" w:ascii="Cambria Math" w:hAnsi="Cambria Math" w:eastAsia="宋体" w:cs="宋体"/>
                      <w:i/>
                      <w:iCs/>
                      <w:color w:val="000000" w:themeColor="text1"/>
                      <w:sz w:val="24"/>
                      <w:szCs w:val="24"/>
                      <w14:textFill>
                        <w14:solidFill>
                          <w14:schemeClr w14:val="tx1"/>
                        </w14:solidFill>
                      </w14:textFill>
                    </w:rPr>
                  </m:ctrlPr>
                </m:sub>
              </m:sSub>
              <m:ctrlPr>
                <w:rPr>
                  <w:rFonts w:hint="eastAsia" w:ascii="Cambria Math" w:hAnsi="Cambria Math" w:eastAsia="宋体" w:cs="宋体"/>
                  <w:i/>
                  <w:iCs/>
                  <w:color w:val="000000" w:themeColor="text1"/>
                  <w:sz w:val="24"/>
                  <w:szCs w:val="24"/>
                  <w14:textFill>
                    <w14:solidFill>
                      <w14:schemeClr w14:val="tx1"/>
                    </w14:solidFill>
                  </w14:textFill>
                </w:rPr>
              </m:ctrlPr>
            </m:num>
            <m:den>
              <m:sSub>
                <m:sSubPr>
                  <m:ctrlPr>
                    <w:rPr>
                      <w:rFonts w:hint="eastAsia" w:ascii="Cambria Math" w:hAnsi="Cambria Math" w:eastAsia="宋体" w:cs="宋体"/>
                      <w:i/>
                      <w:iCs/>
                      <w:color w:val="000000" w:themeColor="text1"/>
                      <w:sz w:val="24"/>
                      <w:szCs w:val="24"/>
                      <w14:textFill>
                        <w14:solidFill>
                          <w14:schemeClr w14:val="tx1"/>
                        </w14:solidFill>
                      </w14:textFill>
                    </w:rPr>
                  </m:ctrlPr>
                </m:sSubPr>
                <m:e>
                  <m:r>
                    <m:rPr/>
                    <w:rPr>
                      <w:rFonts w:hint="eastAsia" w:ascii="Cambria Math" w:hAnsi="Cambria Math" w:eastAsia="宋体" w:cs="宋体"/>
                      <w:color w:val="000000" w:themeColor="text1"/>
                      <w:sz w:val="24"/>
                      <w:szCs w:val="24"/>
                      <w14:textFill>
                        <w14:solidFill>
                          <w14:schemeClr w14:val="tx1"/>
                        </w14:solidFill>
                      </w14:textFill>
                    </w:rPr>
                    <m:t>S</m:t>
                  </m:r>
                  <m:ctrlPr>
                    <w:rPr>
                      <w:rFonts w:hint="eastAsia" w:ascii="Cambria Math" w:hAnsi="Cambria Math" w:eastAsia="宋体" w:cs="宋体"/>
                      <w:i/>
                      <w:iCs/>
                      <w:color w:val="000000" w:themeColor="text1"/>
                      <w:sz w:val="24"/>
                      <w:szCs w:val="24"/>
                      <w14:textFill>
                        <w14:solidFill>
                          <w14:schemeClr w14:val="tx1"/>
                        </w14:solidFill>
                      </w14:textFill>
                    </w:rPr>
                  </m:ctrlPr>
                </m:e>
                <m:sub>
                  <m:r>
                    <m:rPr/>
                    <w:rPr>
                      <w:rFonts w:hint="eastAsia" w:ascii="Cambria Math" w:hAnsi="Cambria Math" w:eastAsia="宋体" w:cs="宋体"/>
                      <w:color w:val="000000" w:themeColor="text1"/>
                      <w:sz w:val="24"/>
                      <w:szCs w:val="24"/>
                      <w14:textFill>
                        <w14:solidFill>
                          <w14:schemeClr w14:val="tx1"/>
                        </w14:solidFill>
                      </w14:textFill>
                    </w:rPr>
                    <m:t>ot</m:t>
                  </m:r>
                  <m:ctrlPr>
                    <w:rPr>
                      <w:rFonts w:hint="eastAsia" w:ascii="Cambria Math" w:hAnsi="Cambria Math" w:eastAsia="宋体" w:cs="宋体"/>
                      <w:i/>
                      <w:iCs/>
                      <w:color w:val="000000" w:themeColor="text1"/>
                      <w:sz w:val="24"/>
                      <w:szCs w:val="24"/>
                      <w14:textFill>
                        <w14:solidFill>
                          <w14:schemeClr w14:val="tx1"/>
                        </w14:solidFill>
                      </w14:textFill>
                    </w:rPr>
                  </m:ctrlPr>
                </m:sub>
              </m:sSub>
              <m:ctrlPr>
                <w:rPr>
                  <w:rFonts w:hint="eastAsia" w:ascii="Cambria Math" w:hAnsi="Cambria Math" w:eastAsia="宋体" w:cs="宋体"/>
                  <w:i/>
                  <w:iCs/>
                  <w:color w:val="000000" w:themeColor="text1"/>
                  <w:sz w:val="24"/>
                  <w:szCs w:val="24"/>
                  <w14:textFill>
                    <w14:solidFill>
                      <w14:schemeClr w14:val="tx1"/>
                    </w14:solidFill>
                  </w14:textFill>
                </w:rPr>
              </m:ctrlPr>
            </m:den>
          </m:f>
          <m:r>
            <m:rPr/>
            <w:rPr>
              <w:rFonts w:hint="eastAsia" w:ascii="Cambria Math" w:hAnsi="Cambria Math" w:eastAsia="宋体" w:cs="宋体"/>
              <w:color w:val="000000" w:themeColor="text1"/>
              <w:sz w:val="24"/>
              <w:szCs w:val="24"/>
              <w14:textFill>
                <w14:solidFill>
                  <w14:schemeClr w14:val="tx1"/>
                </w14:solidFill>
              </w14:textFill>
            </w:rPr>
            <m:t>•</m:t>
          </m:r>
          <m:sSup>
            <m:sSupPr>
              <m:ctrlPr>
                <w:rPr>
                  <w:rFonts w:hint="eastAsia" w:ascii="Cambria Math" w:hAnsi="Cambria Math" w:eastAsia="宋体" w:cs="宋体"/>
                  <w:i/>
                  <w:iCs/>
                  <w:color w:val="000000" w:themeColor="text1"/>
                  <w:sz w:val="24"/>
                  <w:szCs w:val="24"/>
                  <w14:textFill>
                    <w14:solidFill>
                      <w14:schemeClr w14:val="tx1"/>
                    </w14:solidFill>
                  </w14:textFill>
                </w:rPr>
              </m:ctrlPr>
            </m:sSupPr>
            <m:e>
              <m:r>
                <m:rPr/>
                <w:rPr>
                  <w:rFonts w:hint="eastAsia" w:ascii="Cambria Math" w:hAnsi="Cambria Math" w:eastAsia="宋体" w:cs="宋体"/>
                  <w:color w:val="000000" w:themeColor="text1"/>
                  <w:sz w:val="24"/>
                  <w:szCs w:val="24"/>
                  <w14:textFill>
                    <w14:solidFill>
                      <w14:schemeClr w14:val="tx1"/>
                    </w14:solidFill>
                  </w14:textFill>
                </w:rPr>
                <m:t>e</m:t>
              </m:r>
              <m:ctrlPr>
                <w:rPr>
                  <w:rFonts w:hint="eastAsia" w:ascii="Cambria Math" w:hAnsi="Cambria Math" w:eastAsia="宋体" w:cs="宋体"/>
                  <w:i/>
                  <w:iCs/>
                  <w:color w:val="000000" w:themeColor="text1"/>
                  <w:sz w:val="24"/>
                  <w:szCs w:val="24"/>
                  <w14:textFill>
                    <w14:solidFill>
                      <w14:schemeClr w14:val="tx1"/>
                    </w14:solidFill>
                  </w14:textFill>
                </w:rPr>
              </m:ctrlPr>
            </m:e>
            <m:sup>
              <m:r>
                <m:rPr/>
                <w:rPr>
                  <w:rFonts w:hint="eastAsia" w:ascii="Cambria Math" w:hAnsi="Cambria Math" w:eastAsia="宋体" w:cs="宋体"/>
                  <w:color w:val="000000" w:themeColor="text1"/>
                  <w:sz w:val="24"/>
                  <w:szCs w:val="24"/>
                  <w14:textFill>
                    <w14:solidFill>
                      <w14:schemeClr w14:val="tx1"/>
                    </w14:solidFill>
                  </w14:textFill>
                </w:rPr>
                <m:t>−</m:t>
              </m:r>
              <m:f>
                <m:fPr>
                  <m:ctrlPr>
                    <w:rPr>
                      <w:rFonts w:hint="eastAsia" w:ascii="Cambria Math" w:hAnsi="Cambria Math" w:eastAsia="宋体" w:cs="宋体"/>
                      <w:i/>
                      <w:iCs/>
                      <w:color w:val="000000" w:themeColor="text1"/>
                      <w:sz w:val="24"/>
                      <w:szCs w:val="24"/>
                      <w14:textFill>
                        <w14:solidFill>
                          <w14:schemeClr w14:val="tx1"/>
                        </w14:solidFill>
                      </w14:textFill>
                    </w:rPr>
                  </m:ctrlPr>
                </m:fPr>
                <m:num>
                  <m:sSub>
                    <m:sSubPr>
                      <m:ctrlPr>
                        <w:rPr>
                          <w:rFonts w:hint="eastAsia" w:ascii="Cambria Math" w:hAnsi="Cambria Math" w:eastAsia="宋体" w:cs="宋体"/>
                          <w:i/>
                          <w:iCs/>
                          <w:color w:val="000000" w:themeColor="text1"/>
                          <w:sz w:val="24"/>
                          <w:szCs w:val="24"/>
                          <w14:textFill>
                            <w14:solidFill>
                              <w14:schemeClr w14:val="tx1"/>
                            </w14:solidFill>
                          </w14:textFill>
                        </w:rPr>
                      </m:ctrlPr>
                    </m:sSubPr>
                    <m:e>
                      <m:r>
                        <m:rPr/>
                        <w:rPr>
                          <w:rFonts w:hint="eastAsia" w:ascii="Cambria Math" w:hAnsi="Cambria Math" w:eastAsia="宋体" w:cs="宋体"/>
                          <w:color w:val="000000" w:themeColor="text1"/>
                          <w:sz w:val="24"/>
                          <w:szCs w:val="24"/>
                          <w14:textFill>
                            <w14:solidFill>
                              <w14:schemeClr w14:val="tx1"/>
                            </w14:solidFill>
                          </w14:textFill>
                        </w:rPr>
                        <m:t>O</m:t>
                      </m:r>
                      <m:ctrlPr>
                        <w:rPr>
                          <w:rFonts w:hint="eastAsia" w:ascii="Cambria Math" w:hAnsi="Cambria Math" w:eastAsia="宋体" w:cs="宋体"/>
                          <w:i/>
                          <w:iCs/>
                          <w:color w:val="000000" w:themeColor="text1"/>
                          <w:sz w:val="24"/>
                          <w:szCs w:val="24"/>
                          <w14:textFill>
                            <w14:solidFill>
                              <w14:schemeClr w14:val="tx1"/>
                            </w14:solidFill>
                          </w14:textFill>
                        </w:rPr>
                      </m:ctrlPr>
                    </m:e>
                    <m:sub>
                      <m:r>
                        <m:rPr/>
                        <w:rPr>
                          <w:rFonts w:hint="eastAsia" w:ascii="Cambria Math" w:hAnsi="Cambria Math" w:eastAsia="宋体" w:cs="宋体"/>
                          <w:color w:val="000000" w:themeColor="text1"/>
                          <w:sz w:val="24"/>
                          <w:szCs w:val="24"/>
                          <w14:textFill>
                            <w14:solidFill>
                              <w14:schemeClr w14:val="tx1"/>
                            </w14:solidFill>
                          </w14:textFill>
                        </w:rPr>
                        <m:t>c</m:t>
                      </m:r>
                      <m:ctrlPr>
                        <w:rPr>
                          <w:rFonts w:hint="eastAsia" w:ascii="Cambria Math" w:hAnsi="Cambria Math" w:eastAsia="宋体" w:cs="宋体"/>
                          <w:i/>
                          <w:iCs/>
                          <w:color w:val="000000" w:themeColor="text1"/>
                          <w:sz w:val="24"/>
                          <w:szCs w:val="24"/>
                          <w14:textFill>
                            <w14:solidFill>
                              <w14:schemeClr w14:val="tx1"/>
                            </w14:solidFill>
                          </w14:textFill>
                        </w:rPr>
                      </m:ctrlPr>
                    </m:sub>
                  </m:sSub>
                  <m:ctrlPr>
                    <w:rPr>
                      <w:rFonts w:hint="eastAsia" w:ascii="Cambria Math" w:hAnsi="Cambria Math" w:eastAsia="宋体" w:cs="宋体"/>
                      <w:i/>
                      <w:iCs/>
                      <w:color w:val="000000" w:themeColor="text1"/>
                      <w:sz w:val="24"/>
                      <w:szCs w:val="24"/>
                      <w14:textFill>
                        <w14:solidFill>
                          <w14:schemeClr w14:val="tx1"/>
                        </w14:solidFill>
                      </w14:textFill>
                    </w:rPr>
                  </m:ctrlPr>
                </m:num>
                <m:den>
                  <m:sSub>
                    <m:sSubPr>
                      <m:ctrlPr>
                        <w:rPr>
                          <w:rFonts w:hint="eastAsia" w:ascii="Cambria Math" w:hAnsi="Cambria Math" w:eastAsia="宋体" w:cs="宋体"/>
                          <w:i/>
                          <w:iCs/>
                          <w:color w:val="000000" w:themeColor="text1"/>
                          <w:sz w:val="24"/>
                          <w:szCs w:val="24"/>
                          <w14:textFill>
                            <w14:solidFill>
                              <w14:schemeClr w14:val="tx1"/>
                            </w14:solidFill>
                          </w14:textFill>
                        </w:rPr>
                      </m:ctrlPr>
                    </m:sSubPr>
                    <m:e>
                      <m:r>
                        <m:rPr/>
                        <w:rPr>
                          <w:rFonts w:hint="eastAsia" w:ascii="Cambria Math" w:hAnsi="Cambria Math" w:eastAsia="宋体" w:cs="宋体"/>
                          <w:color w:val="000000" w:themeColor="text1"/>
                          <w:sz w:val="24"/>
                          <w:szCs w:val="24"/>
                          <w14:textFill>
                            <w14:solidFill>
                              <w14:schemeClr w14:val="tx1"/>
                            </w14:solidFill>
                          </w14:textFill>
                        </w:rPr>
                        <m:t>S</m:t>
                      </m:r>
                      <m:ctrlPr>
                        <w:rPr>
                          <w:rFonts w:hint="eastAsia" w:ascii="Cambria Math" w:hAnsi="Cambria Math" w:eastAsia="宋体" w:cs="宋体"/>
                          <w:i/>
                          <w:iCs/>
                          <w:color w:val="000000" w:themeColor="text1"/>
                          <w:sz w:val="24"/>
                          <w:szCs w:val="24"/>
                          <w14:textFill>
                            <w14:solidFill>
                              <w14:schemeClr w14:val="tx1"/>
                            </w14:solidFill>
                          </w14:textFill>
                        </w:rPr>
                      </m:ctrlPr>
                    </m:e>
                    <m:sub>
                      <m:r>
                        <m:rPr/>
                        <w:rPr>
                          <w:rFonts w:hint="eastAsia" w:ascii="Cambria Math" w:hAnsi="Cambria Math" w:eastAsia="宋体" w:cs="宋体"/>
                          <w:color w:val="000000" w:themeColor="text1"/>
                          <w:sz w:val="24"/>
                          <w:szCs w:val="24"/>
                          <w14:textFill>
                            <w14:solidFill>
                              <w14:schemeClr w14:val="tx1"/>
                            </w14:solidFill>
                          </w14:textFill>
                        </w:rPr>
                        <m:t>ot</m:t>
                      </m:r>
                      <m:ctrlPr>
                        <w:rPr>
                          <w:rFonts w:hint="eastAsia" w:ascii="Cambria Math" w:hAnsi="Cambria Math" w:eastAsia="宋体" w:cs="宋体"/>
                          <w:i/>
                          <w:iCs/>
                          <w:color w:val="000000" w:themeColor="text1"/>
                          <w:sz w:val="24"/>
                          <w:szCs w:val="24"/>
                          <w14:textFill>
                            <w14:solidFill>
                              <w14:schemeClr w14:val="tx1"/>
                            </w14:solidFill>
                          </w14:textFill>
                        </w:rPr>
                      </m:ctrlPr>
                    </m:sub>
                  </m:sSub>
                  <m:ctrlPr>
                    <w:rPr>
                      <w:rFonts w:hint="eastAsia" w:ascii="Cambria Math" w:hAnsi="Cambria Math" w:eastAsia="宋体" w:cs="宋体"/>
                      <w:i/>
                      <w:iCs/>
                      <w:color w:val="000000" w:themeColor="text1"/>
                      <w:sz w:val="24"/>
                      <w:szCs w:val="24"/>
                      <w14:textFill>
                        <w14:solidFill>
                          <w14:schemeClr w14:val="tx1"/>
                        </w14:solidFill>
                      </w14:textFill>
                    </w:rPr>
                  </m:ctrlPr>
                </m:den>
              </m:f>
              <m:ctrlPr>
                <w:rPr>
                  <w:rFonts w:hint="eastAsia" w:ascii="Cambria Math" w:hAnsi="Cambria Math" w:eastAsia="宋体" w:cs="宋体"/>
                  <w:i/>
                  <w:iCs/>
                  <w:color w:val="000000" w:themeColor="text1"/>
                  <w:sz w:val="24"/>
                  <w:szCs w:val="24"/>
                  <w14:textFill>
                    <w14:solidFill>
                      <w14:schemeClr w14:val="tx1"/>
                    </w14:solidFill>
                  </w14:textFill>
                </w:rPr>
              </m:ctrlPr>
            </m:sup>
          </m:sSup>
          <m:r>
            <m:rPr/>
            <w:rPr>
              <w:rFonts w:hint="eastAsia" w:ascii="Cambria Math" w:hAnsi="Cambria Math" w:eastAsia="宋体" w:cs="宋体"/>
              <w:color w:val="000000" w:themeColor="text1"/>
              <w:sz w:val="24"/>
              <w:szCs w:val="24"/>
              <w14:textFill>
                <w14:solidFill>
                  <w14:schemeClr w14:val="tx1"/>
                </w14:solidFill>
              </w14:textFill>
            </w:rPr>
            <m:t> + </m:t>
          </m:r>
          <m:f>
            <m:fPr>
              <m:ctrlPr>
                <w:rPr>
                  <w:rFonts w:hint="eastAsia" w:ascii="Cambria Math" w:hAnsi="Cambria Math" w:eastAsia="宋体" w:cs="宋体"/>
                  <w:i/>
                  <w:iCs/>
                  <w:color w:val="000000" w:themeColor="text1"/>
                  <w:sz w:val="24"/>
                  <w:szCs w:val="24"/>
                  <w14:textFill>
                    <w14:solidFill>
                      <w14:schemeClr w14:val="tx1"/>
                    </w14:solidFill>
                  </w14:textFill>
                </w:rPr>
              </m:ctrlPr>
            </m:fPr>
            <m:num>
              <m:d>
                <m:dPr>
                  <m:ctrlPr>
                    <w:rPr>
                      <w:rFonts w:hint="eastAsia" w:ascii="Cambria Math" w:hAnsi="Cambria Math" w:eastAsia="宋体" w:cs="宋体"/>
                      <w:i/>
                      <w:iCs/>
                      <w:color w:val="000000" w:themeColor="text1"/>
                      <w:sz w:val="24"/>
                      <w:szCs w:val="24"/>
                      <w14:textFill>
                        <w14:solidFill>
                          <w14:schemeClr w14:val="tx1"/>
                        </w14:solidFill>
                      </w14:textFill>
                    </w:rPr>
                  </m:ctrlPr>
                </m:dPr>
                <m:e>
                  <m:r>
                    <m:rPr/>
                    <w:rPr>
                      <w:rFonts w:hint="eastAsia" w:ascii="Cambria Math" w:hAnsi="Cambria Math" w:eastAsia="宋体" w:cs="宋体"/>
                      <w:color w:val="000000" w:themeColor="text1"/>
                      <w:sz w:val="24"/>
                      <w:szCs w:val="24"/>
                      <w14:textFill>
                        <w14:solidFill>
                          <w14:schemeClr w14:val="tx1"/>
                        </w14:solidFill>
                      </w14:textFill>
                    </w:rPr>
                    <m:t>1−α−β</m:t>
                  </m:r>
                  <m:ctrlPr>
                    <w:rPr>
                      <w:rFonts w:hint="eastAsia" w:ascii="Cambria Math" w:hAnsi="Cambria Math" w:eastAsia="宋体" w:cs="宋体"/>
                      <w:i/>
                      <w:iCs/>
                      <w:color w:val="000000" w:themeColor="text1"/>
                      <w:sz w:val="24"/>
                      <w:szCs w:val="24"/>
                      <w14:textFill>
                        <w14:solidFill>
                          <w14:schemeClr w14:val="tx1"/>
                        </w14:solidFill>
                      </w14:textFill>
                    </w:rPr>
                  </m:ctrlPr>
                </m:e>
              </m:d>
              <m:r>
                <m:rPr>
                  <m:nor/>
                  <m:sty m:val="p"/>
                </m:rPr>
                <w:rPr>
                  <w:rFonts w:hint="eastAsia" w:ascii="Cambria Math" w:hAnsi="Cambria Math" w:eastAsia="宋体" w:cs="宋体"/>
                  <w:b w:val="0"/>
                  <w:i w:val="0"/>
                  <w:color w:val="000000" w:themeColor="text1"/>
                  <w:sz w:val="24"/>
                  <w:szCs w:val="24"/>
                  <w14:textFill>
                    <w14:solidFill>
                      <w14:schemeClr w14:val="tx1"/>
                    </w14:solidFill>
                  </w14:textFill>
                </w:rPr>
                <m:t>Or</m:t>
              </m:r>
              <m:ctrlPr>
                <w:rPr>
                  <w:rFonts w:hint="eastAsia" w:ascii="Cambria Math" w:hAnsi="Cambria Math" w:eastAsia="宋体" w:cs="宋体"/>
                  <w:i/>
                  <w:iCs/>
                  <w:color w:val="000000" w:themeColor="text1"/>
                  <w:sz w:val="24"/>
                  <w:szCs w:val="24"/>
                  <w14:textFill>
                    <w14:solidFill>
                      <w14:schemeClr w14:val="tx1"/>
                    </w14:solidFill>
                  </w14:textFill>
                </w:rPr>
              </m:ctrlPr>
            </m:num>
            <m:den>
              <m:rad>
                <m:radPr>
                  <m:degHide m:val="1"/>
                  <m:ctrlPr>
                    <w:rPr>
                      <w:rFonts w:hint="eastAsia" w:ascii="Cambria Math" w:hAnsi="Cambria Math" w:eastAsia="宋体" w:cs="宋体"/>
                      <w:i/>
                      <w:iCs/>
                      <w:color w:val="000000" w:themeColor="text1"/>
                      <w:sz w:val="24"/>
                      <w:szCs w:val="24"/>
                      <w14:textFill>
                        <w14:solidFill>
                          <w14:schemeClr w14:val="tx1"/>
                        </w14:solidFill>
                      </w14:textFill>
                    </w:rPr>
                  </m:ctrlPr>
                </m:radPr>
                <m:deg>
                  <m:ctrlPr>
                    <w:rPr>
                      <w:rFonts w:hint="eastAsia" w:ascii="Cambria Math" w:hAnsi="Cambria Math" w:eastAsia="宋体" w:cs="宋体"/>
                      <w:i/>
                      <w:iCs/>
                      <w:color w:val="000000" w:themeColor="text1"/>
                      <w:sz w:val="24"/>
                      <w:szCs w:val="24"/>
                      <w14:textFill>
                        <w14:solidFill>
                          <w14:schemeClr w14:val="tx1"/>
                        </w14:solidFill>
                      </w14:textFill>
                    </w:rPr>
                  </m:ctrlPr>
                </m:deg>
                <m:e>
                  <m:sSup>
                    <m:sSupPr>
                      <m:ctrlPr>
                        <w:rPr>
                          <w:rFonts w:hint="eastAsia" w:ascii="Cambria Math" w:hAnsi="Cambria Math" w:eastAsia="宋体" w:cs="宋体"/>
                          <w:i/>
                          <w:iCs/>
                          <w:color w:val="000000" w:themeColor="text1"/>
                          <w:sz w:val="24"/>
                          <w:szCs w:val="24"/>
                          <w14:textFill>
                            <w14:solidFill>
                              <w14:schemeClr w14:val="tx1"/>
                            </w14:solidFill>
                          </w14:textFill>
                        </w:rPr>
                      </m:ctrlPr>
                    </m:sSupPr>
                    <m:e>
                      <m:r>
                        <m:rPr/>
                        <w:rPr>
                          <w:rFonts w:hint="eastAsia" w:ascii="Cambria Math" w:hAnsi="Cambria Math" w:eastAsia="宋体" w:cs="宋体"/>
                          <w:color w:val="000000" w:themeColor="text1"/>
                          <w:sz w:val="24"/>
                          <w:szCs w:val="24"/>
                          <w14:textFill>
                            <w14:solidFill>
                              <w14:schemeClr w14:val="tx1"/>
                            </w14:solidFill>
                          </w14:textFill>
                        </w:rPr>
                        <m:t>d</m:t>
                      </m:r>
                      <m:ctrlPr>
                        <w:rPr>
                          <w:rFonts w:hint="eastAsia" w:ascii="Cambria Math" w:hAnsi="Cambria Math" w:eastAsia="宋体" w:cs="宋体"/>
                          <w:i/>
                          <w:iCs/>
                          <w:color w:val="000000" w:themeColor="text1"/>
                          <w:sz w:val="24"/>
                          <w:szCs w:val="24"/>
                          <w14:textFill>
                            <w14:solidFill>
                              <w14:schemeClr w14:val="tx1"/>
                            </w14:solidFill>
                          </w14:textFill>
                        </w:rPr>
                      </m:ctrlPr>
                    </m:e>
                    <m:sup>
                      <m:r>
                        <m:rPr/>
                        <w:rPr>
                          <w:rFonts w:hint="eastAsia" w:ascii="Cambria Math" w:hAnsi="Cambria Math" w:eastAsia="宋体" w:cs="宋体"/>
                          <w:color w:val="000000" w:themeColor="text1"/>
                          <w:sz w:val="24"/>
                          <w:szCs w:val="24"/>
                          <w14:textFill>
                            <w14:solidFill>
                              <w14:schemeClr w14:val="tx1"/>
                            </w14:solidFill>
                          </w14:textFill>
                        </w:rPr>
                        <m:t>2</m:t>
                      </m:r>
                      <m:ctrlPr>
                        <w:rPr>
                          <w:rFonts w:hint="eastAsia" w:ascii="Cambria Math" w:hAnsi="Cambria Math" w:eastAsia="宋体" w:cs="宋体"/>
                          <w:i/>
                          <w:iCs/>
                          <w:color w:val="000000" w:themeColor="text1"/>
                          <w:sz w:val="24"/>
                          <w:szCs w:val="24"/>
                          <w14:textFill>
                            <w14:solidFill>
                              <w14:schemeClr w14:val="tx1"/>
                            </w14:solidFill>
                          </w14:textFill>
                        </w:rPr>
                      </m:ctrlPr>
                    </m:sup>
                  </m:sSup>
                  <m:r>
                    <m:rPr/>
                    <w:rPr>
                      <w:rFonts w:hint="eastAsia" w:ascii="Cambria Math" w:hAnsi="Cambria Math" w:eastAsia="宋体" w:cs="宋体"/>
                      <w:color w:val="000000" w:themeColor="text1"/>
                      <w:sz w:val="24"/>
                      <w:szCs w:val="24"/>
                      <w14:textFill>
                        <w14:solidFill>
                          <w14:schemeClr w14:val="tx1"/>
                        </w14:solidFill>
                      </w14:textFill>
                    </w:rPr>
                    <m:t>+1</m:t>
                  </m:r>
                  <m:ctrlPr>
                    <w:rPr>
                      <w:rFonts w:hint="eastAsia" w:ascii="Cambria Math" w:hAnsi="Cambria Math" w:eastAsia="宋体" w:cs="宋体"/>
                      <w:i/>
                      <w:iCs/>
                      <w:color w:val="000000" w:themeColor="text1"/>
                      <w:sz w:val="24"/>
                      <w:szCs w:val="24"/>
                      <w14:textFill>
                        <w14:solidFill>
                          <w14:schemeClr w14:val="tx1"/>
                        </w14:solidFill>
                      </w14:textFill>
                    </w:rPr>
                  </m:ctrlPr>
                </m:e>
              </m:rad>
              <m:ctrlPr>
                <w:rPr>
                  <w:rFonts w:hint="eastAsia" w:ascii="Cambria Math" w:hAnsi="Cambria Math" w:eastAsia="宋体" w:cs="宋体"/>
                  <w:i/>
                  <w:iCs/>
                  <w:color w:val="000000" w:themeColor="text1"/>
                  <w:sz w:val="24"/>
                  <w:szCs w:val="24"/>
                  <w14:textFill>
                    <w14:solidFill>
                      <w14:schemeClr w14:val="tx1"/>
                    </w14:solidFill>
                  </w14:textFill>
                </w:rPr>
              </m:ctrlPr>
            </m:den>
          </m:f>
        </m:oMath>
      </m:oMathPara>
    </w:p>
    <w:p>
      <w:pPr>
        <w:pStyle w:val="4"/>
        <w:numPr>
          <w:ilvl w:val="0"/>
          <w:numId w:val="0"/>
        </w:numPr>
        <w:spacing w:line="360" w:lineRule="auto"/>
        <w:ind w:leftChars="0"/>
        <w:rPr>
          <w:rFonts w:hAnsi="Cambria Math" w:cs="Cambria Math"/>
          <w:i w:val="0"/>
          <w:color w:val="000000" w:themeColor="text1"/>
          <w:kern w:val="2"/>
          <w:sz w:val="24"/>
          <w14:textFill>
            <w14:solidFill>
              <w14:schemeClr w14:val="tx1"/>
            </w14:solidFill>
          </w14:textFill>
        </w:rPr>
      </w:pPr>
      <m:oMathPara>
        <m:oMath>
          <m:r>
            <m:rPr/>
            <w:rPr>
              <w:rFonts w:ascii="Cambria Math" w:hAnsi="Cambria Math" w:cs="Cambria Math"/>
              <w:color w:val="000000" w:themeColor="text1"/>
              <w:kern w:val="2"/>
              <w:sz w:val="24"/>
              <w14:textFill>
                <w14:solidFill>
                  <w14:schemeClr w14:val="tx1"/>
                </w14:solidFill>
              </w14:textFill>
            </w:rPr>
            <m:t>R=α∙θ+β∙Oc</m:t>
          </m:r>
        </m:oMath>
      </m:oMathPara>
    </w:p>
    <w:p>
      <w:pPr>
        <w:pStyle w:val="4"/>
        <w:numPr>
          <w:ilvl w:val="0"/>
          <w:numId w:val="0"/>
        </w:numPr>
        <w:spacing w:line="360" w:lineRule="auto"/>
        <w:ind w:leftChars="0"/>
        <w:rPr>
          <w:rFonts w:hAnsi="Cambria Math" w:cs="Cambria Math"/>
          <w:i w:val="0"/>
          <w:color w:val="000000" w:themeColor="text1"/>
          <w:kern w:val="2"/>
          <w:sz w:val="24"/>
          <w14:textFill>
            <w14:solidFill>
              <w14:schemeClr w14:val="tx1"/>
            </w14:solidFill>
          </w14:textFill>
        </w:rPr>
      </w:pPr>
      <m:oMathPara>
        <m:oMath>
          <m:r>
            <m:rPr/>
            <w:rPr>
              <w:rFonts w:ascii="Cambria Math" w:hAnsi="Cambria Math" w:cs="Cambria Math"/>
              <w:color w:val="000000" w:themeColor="text1"/>
              <w:kern w:val="2"/>
              <w:sz w:val="24"/>
              <w14:textFill>
                <w14:solidFill>
                  <w14:schemeClr w14:val="tx1"/>
                </w14:solidFill>
              </w14:textFill>
            </w:rPr>
            <m:t>T</m:t>
          </m:r>
          <m:r>
            <m:rPr>
              <m:sty m:val="p"/>
            </m:rPr>
            <w:rPr>
              <w:rFonts w:ascii="Cambria Math" w:hAnsi="Cambria Math" w:cs="Cambria Math"/>
              <w:color w:val="000000" w:themeColor="text1"/>
              <w:kern w:val="2"/>
              <w:sz w:val="24"/>
              <w14:textFill>
                <w14:solidFill>
                  <w14:schemeClr w14:val="tx1"/>
                </w14:solidFill>
              </w14:textFill>
            </w:rPr>
            <m:t>=</m:t>
          </m:r>
          <m:r>
            <m:rPr/>
            <w:rPr>
              <w:rFonts w:ascii="Cambria Math" w:hAnsi="Cambria Math" w:cs="Cambria Math"/>
              <w:color w:val="000000" w:themeColor="text1"/>
              <w:kern w:val="2"/>
              <w:sz w:val="24"/>
              <w14:textFill>
                <w14:solidFill>
                  <w14:schemeClr w14:val="tx1"/>
                </w14:solidFill>
              </w14:textFill>
            </w:rPr>
            <m:t>α∙D+β∙Oc</m:t>
          </m:r>
        </m:oMath>
      </m:oMathPara>
    </w:p>
    <w:p>
      <w:pPr>
        <w:pStyle w:val="4"/>
        <w:numPr>
          <w:ilvl w:val="0"/>
          <w:numId w:val="0"/>
        </w:numPr>
        <w:spacing w:line="360" w:lineRule="auto"/>
        <w:ind w:leftChars="0"/>
        <w:rPr>
          <w:rFonts w:hint="eastAsia" w:hAnsi="Cambria Math" w:cs="Cambria Math"/>
          <w:i w:val="0"/>
          <w:color w:val="000000" w:themeColor="text1"/>
          <w:kern w:val="2"/>
          <w:sz w:val="24"/>
          <w14:textFill>
            <w14:solidFill>
              <w14:schemeClr w14:val="tx1"/>
            </w14:solidFill>
          </w14:textFill>
        </w:rPr>
      </w:pPr>
      <m:oMathPara>
        <m:oMathParaPr>
          <m:jc m:val="center"/>
        </m:oMathParaPr>
        <m:oMath>
          <m:r>
            <m:rPr/>
            <w:rPr>
              <w:rFonts w:ascii="Cambria Math" w:hAnsi="Cambria Math" w:cs="Cambria Math"/>
              <w:color w:val="000000" w:themeColor="text1"/>
              <w:kern w:val="2"/>
              <w:sz w:val="24"/>
              <w14:textFill>
                <w14:solidFill>
                  <w14:schemeClr w14:val="tx1"/>
                </w14:solidFill>
              </w14:textFill>
            </w:rPr>
            <m:t>S=α∙S+β∙Oc</m:t>
          </m:r>
        </m:oMath>
      </m:oMathPara>
    </w:p>
    <w:p>
      <w:pPr>
        <w:pStyle w:val="4"/>
        <w:numPr>
          <w:ilvl w:val="0"/>
          <w:numId w:val="2"/>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操纵导航TRS场的可视化:实时更新TRS场后，TRS场的可视化主要分为两种，一种是离散可视化每个视点，指导多个用户操纵；一种是对TRS场进行插值处理，连续可视化出整个TRS场。</w:t>
      </w:r>
    </w:p>
    <w:p>
      <w:pPr>
        <w:pStyle w:val="4"/>
        <w:numPr>
          <w:ilvl w:val="0"/>
          <w:numId w:val="2"/>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用户研究: 通过不同协同操纵导航场TRS场的可视化操纵方法和传统方法在不同任务下完成实验对象操纵完成任务所需的时间、操纵旋转误差、操纵平移误差、操纵缩放误差和用户参与度度量本方法与传统方法以及基于速度方法的效率和精度，验证本方法的有效性。</w:t>
      </w:r>
    </w:p>
    <w:p>
      <w:pPr>
        <w:pStyle w:val="3"/>
        <w:tabs>
          <w:tab w:val="clear" w:pos="927"/>
        </w:tabs>
        <w:ind w:left="0" w:firstLine="0"/>
        <w:rPr>
          <w:rFonts w:hint="eastAsia" w:hAnsi="Arial"/>
        </w:rPr>
      </w:pPr>
      <w:bookmarkStart w:id="14" w:name="_Toc16739"/>
      <w:r>
        <w:rPr>
          <w:rFonts w:hint="eastAsia" w:hAnsi="Arial"/>
          <w:lang w:val="en-US" w:eastAsia="zh-CN"/>
        </w:rPr>
        <w:t xml:space="preserve">3.2 </w:t>
      </w:r>
      <w:bookmarkStart w:id="15" w:name="_Toc99476113"/>
      <w:r>
        <w:rPr>
          <w:rFonts w:hint="eastAsia" w:hAnsi="Arial"/>
        </w:rPr>
        <w:t>论文已完成工作</w:t>
      </w:r>
      <w:bookmarkEnd w:id="14"/>
      <w:bookmarkEnd w:id="15"/>
    </w:p>
    <w:p>
      <w:pPr>
        <w:pStyle w:val="4"/>
        <w:ind w:left="0" w:leftChars="0" w:firstLine="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3.2.1 采样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sz w:val="24"/>
          <w:szCs w:val="24"/>
          <w:lang w:val="en-US" w:eastAsia="zh-CN"/>
        </w:rPr>
      </w:pPr>
      <w:r>
        <w:rPr>
          <w:rFonts w:hint="eastAsia" w:ascii="宋体" w:hAnsi="宋体"/>
          <w:sz w:val="24"/>
          <w:szCs w:val="24"/>
          <w:lang w:val="en-US" w:eastAsia="zh-CN"/>
        </w:rPr>
        <w:t>视点质量场构建在用户可行走区域之上。因此首先要对场景中用户可行走区域进行划分，只有在用户可行走区域上构建场，对用户来说这个场才是有效场。我们首先使用Unity中的NavMesh系统，划分可行走区域和不可行走区域，利用该系统生成NavMesh。工厂场景下生成的导航网格如</w:t>
      </w: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REF _Ref11743 \h </w:instrText>
      </w:r>
      <w:r>
        <w:rPr>
          <w:rFonts w:hint="eastAsia" w:ascii="宋体" w:hAnsi="宋体"/>
          <w:sz w:val="24"/>
          <w:szCs w:val="24"/>
          <w:lang w:val="en-US" w:eastAsia="zh-CN"/>
        </w:rPr>
        <w:fldChar w:fldCharType="separate"/>
      </w:r>
      <w:r>
        <w:rPr>
          <w:rFonts w:hint="eastAsia" w:ascii="宋体" w:hAnsi="宋体" w:eastAsia="宋体" w:cs="宋体"/>
          <w:b/>
          <w:bCs/>
          <w:sz w:val="24"/>
          <w:szCs w:val="24"/>
        </w:rPr>
        <w:t>图 4</w:t>
      </w:r>
      <w:r>
        <w:rPr>
          <w:rFonts w:hint="eastAsia" w:ascii="宋体" w:hAnsi="宋体"/>
          <w:sz w:val="24"/>
          <w:szCs w:val="24"/>
          <w:lang w:val="en-US" w:eastAsia="zh-CN"/>
        </w:rPr>
        <w:fldChar w:fldCharType="end"/>
      </w:r>
      <w:r>
        <w:rPr>
          <w:rFonts w:hint="eastAsia" w:ascii="宋体" w:hAnsi="宋体"/>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4"/>
          <w:szCs w:val="24"/>
        </w:rPr>
      </w:pPr>
      <w:r>
        <w:rPr>
          <w:sz w:val="24"/>
          <w:szCs w:val="24"/>
        </w:rPr>
        <w:drawing>
          <wp:inline distT="0" distB="0" distL="114300" distR="114300">
            <wp:extent cx="3959860" cy="2879725"/>
            <wp:effectExtent l="0" t="0" r="2540" b="15875"/>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13"/>
                    <a:stretch>
                      <a:fillRect/>
                    </a:stretch>
                  </pic:blipFill>
                  <pic:spPr>
                    <a:xfrm>
                      <a:off x="0" y="0"/>
                      <a:ext cx="3959860" cy="287972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lang w:eastAsia="zh-CN"/>
        </w:rPr>
      </w:pPr>
      <w:bookmarkStart w:id="16" w:name="_Ref11743"/>
      <w:r>
        <w:rPr>
          <w:rFonts w:hint="eastAsia" w:ascii="宋体" w:hAnsi="宋体" w:eastAsia="宋体" w:cs="宋体"/>
          <w:b/>
          <w:bCs/>
          <w:sz w:val="24"/>
          <w:szCs w:val="24"/>
        </w:rPr>
        <w:t xml:space="preserve">图 </w:t>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SEQ 图 \* ARABIC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4</w:t>
      </w:r>
      <w:r>
        <w:rPr>
          <w:rFonts w:hint="eastAsia" w:ascii="宋体" w:hAnsi="宋体" w:eastAsia="宋体" w:cs="宋体"/>
          <w:b/>
          <w:bCs/>
          <w:sz w:val="24"/>
          <w:szCs w:val="24"/>
        </w:rPr>
        <w:fldChar w:fldCharType="end"/>
      </w:r>
      <w:bookmarkEnd w:id="16"/>
      <w:r>
        <w:rPr>
          <w:rFonts w:hint="eastAsia" w:ascii="宋体" w:hAnsi="宋体" w:eastAsia="宋体" w:cs="宋体"/>
          <w:b/>
          <w:bCs/>
          <w:sz w:val="24"/>
          <w:szCs w:val="24"/>
          <w:lang w:eastAsia="zh-CN"/>
        </w:rPr>
        <w:t xml:space="preserve"> 工厂场景下生成的NavMesh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154045" cy="4013200"/>
            <wp:effectExtent l="0" t="0" r="6350" b="8255"/>
            <wp:docPr id="44" name="图片 43"/>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14"/>
                    <a:stretch>
                      <a:fillRect/>
                    </a:stretch>
                  </pic:blipFill>
                  <pic:spPr>
                    <a:xfrm rot="16200000" flipH="1">
                      <a:off x="0" y="0"/>
                      <a:ext cx="3154045" cy="401320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lang w:val="en-US" w:eastAsia="zh-CN"/>
        </w:rPr>
      </w:pPr>
      <w:bookmarkStart w:id="17" w:name="_Ref12317"/>
      <w:r>
        <w:rPr>
          <w:rFonts w:hint="eastAsia" w:ascii="宋体" w:hAnsi="宋体" w:eastAsia="宋体" w:cs="宋体"/>
          <w:b/>
          <w:bCs/>
          <w:sz w:val="24"/>
          <w:szCs w:val="24"/>
        </w:rPr>
        <w:t xml:space="preserve">图 </w:t>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SEQ 图 \* ARABIC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5</w:t>
      </w:r>
      <w:r>
        <w:rPr>
          <w:rFonts w:hint="eastAsia" w:ascii="宋体" w:hAnsi="宋体" w:eastAsia="宋体" w:cs="宋体"/>
          <w:b/>
          <w:bCs/>
          <w:sz w:val="24"/>
          <w:szCs w:val="24"/>
        </w:rPr>
        <w:fldChar w:fldCharType="end"/>
      </w:r>
      <w:bookmarkEnd w:id="17"/>
      <w:r>
        <w:rPr>
          <w:rFonts w:hint="eastAsia" w:ascii="宋体" w:hAnsi="宋体" w:eastAsia="宋体" w:cs="宋体"/>
          <w:b/>
          <w:bCs/>
          <w:sz w:val="24"/>
          <w:szCs w:val="24"/>
          <w:lang w:eastAsia="zh-CN"/>
        </w:rPr>
        <w:t xml:space="preserve"> 工厂场景下导出的NavMesh的.obj文件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sz w:val="24"/>
          <w:szCs w:val="24"/>
          <w:lang w:val="en-US" w:eastAsia="zh-CN"/>
        </w:rPr>
      </w:pPr>
      <w:r>
        <w:rPr>
          <w:rFonts w:hint="eastAsia" w:ascii="宋体" w:hAnsi="宋体"/>
          <w:sz w:val="24"/>
          <w:szCs w:val="24"/>
          <w:lang w:val="en-US" w:eastAsia="zh-CN"/>
        </w:rPr>
        <w:t>由NavMesh系统导出可行走区域的坐标，导出生成.obj格式文件如</w:t>
      </w: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REF _Ref12317 \h </w:instrText>
      </w:r>
      <w:r>
        <w:rPr>
          <w:rFonts w:hint="eastAsia" w:ascii="宋体" w:hAnsi="宋体"/>
          <w:sz w:val="24"/>
          <w:szCs w:val="24"/>
          <w:lang w:val="en-US" w:eastAsia="zh-CN"/>
        </w:rPr>
        <w:fldChar w:fldCharType="separate"/>
      </w:r>
      <w:r>
        <w:rPr>
          <w:rFonts w:hint="eastAsia" w:ascii="宋体" w:hAnsi="宋体" w:eastAsia="宋体" w:cs="宋体"/>
          <w:b/>
          <w:bCs/>
          <w:sz w:val="24"/>
          <w:szCs w:val="24"/>
        </w:rPr>
        <w:t>图 5</w:t>
      </w:r>
      <w:r>
        <w:rPr>
          <w:rFonts w:hint="eastAsia" w:ascii="宋体" w:hAnsi="宋体"/>
          <w:sz w:val="24"/>
          <w:szCs w:val="24"/>
          <w:lang w:val="en-US" w:eastAsia="zh-CN"/>
        </w:rPr>
        <w:fldChar w:fldCharType="end"/>
      </w:r>
      <w:r>
        <w:rPr>
          <w:rFonts w:hint="eastAsia" w:ascii="宋体" w:hAnsi="宋体"/>
          <w:sz w:val="24"/>
          <w:szCs w:val="24"/>
          <w:lang w:val="en-US" w:eastAsia="zh-CN"/>
        </w:rPr>
        <w:t>所示，可行走区域为不规则形状，由不同的三角形面片组成，形成.obj格式文件中的顶点和索引。获取可行走区域的数据点后，找出可行走区域的边界，从边界开始进行采样，每个采样点之间延x轴和z轴距离为1.5m(对应人的臂展)，延y轴为指定高度1m(对应于人蹲下的姿势)和1.7m(对应人正常站立的姿势),每个采样点计算其水平位置是否处于可行走区域中的某个三角形面片之中，如果在则保留该采样点，采样完成后将采样点可视化。最终结果如</w:t>
      </w: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REF _Ref13010 \h </w:instrText>
      </w:r>
      <w:r>
        <w:rPr>
          <w:rFonts w:hint="eastAsia" w:ascii="宋体" w:hAnsi="宋体"/>
          <w:sz w:val="24"/>
          <w:szCs w:val="24"/>
          <w:lang w:val="en-US" w:eastAsia="zh-CN"/>
        </w:rPr>
        <w:fldChar w:fldCharType="separate"/>
      </w:r>
      <w:r>
        <w:rPr>
          <w:rFonts w:hint="eastAsia" w:ascii="宋体" w:hAnsi="宋体" w:eastAsia="宋体" w:cs="宋体"/>
          <w:b/>
          <w:bCs/>
          <w:sz w:val="24"/>
          <w:szCs w:val="24"/>
        </w:rPr>
        <w:t>图 6</w:t>
      </w:r>
      <w:r>
        <w:rPr>
          <w:rFonts w:hint="eastAsia" w:ascii="宋体" w:hAnsi="宋体"/>
          <w:sz w:val="24"/>
          <w:szCs w:val="24"/>
          <w:lang w:val="en-US" w:eastAsia="zh-CN"/>
        </w:rPr>
        <w:fldChar w:fldCharType="end"/>
      </w:r>
      <w:r>
        <w:rPr>
          <w:rFonts w:hint="eastAsia" w:ascii="宋体" w:hAnsi="宋体"/>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4"/>
          <w:szCs w:val="24"/>
        </w:rPr>
      </w:pPr>
      <w:r>
        <w:rPr>
          <w:sz w:val="24"/>
          <w:szCs w:val="24"/>
        </w:rPr>
        <w:drawing>
          <wp:inline distT="0" distB="0" distL="114300" distR="114300">
            <wp:extent cx="4102100" cy="2657475"/>
            <wp:effectExtent l="0" t="0" r="12700" b="9525"/>
            <wp:docPr id="4" name="图片 2"/>
            <wp:cNvGraphicFramePr/>
            <a:graphic xmlns:a="http://schemas.openxmlformats.org/drawingml/2006/main">
              <a:graphicData uri="http://schemas.openxmlformats.org/drawingml/2006/picture">
                <pic:pic xmlns:pic="http://schemas.openxmlformats.org/drawingml/2006/picture">
                  <pic:nvPicPr>
                    <pic:cNvPr id="4" name="图片 2"/>
                    <pic:cNvPicPr/>
                  </pic:nvPicPr>
                  <pic:blipFill>
                    <a:blip r:embed="rId15"/>
                    <a:stretch>
                      <a:fillRect/>
                    </a:stretch>
                  </pic:blipFill>
                  <pic:spPr>
                    <a:xfrm>
                      <a:off x="0" y="0"/>
                      <a:ext cx="4102100" cy="265747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lang w:eastAsia="zh-CN"/>
        </w:rPr>
      </w:pPr>
      <w:bookmarkStart w:id="18" w:name="_Ref13010"/>
      <w:r>
        <w:rPr>
          <w:rFonts w:hint="eastAsia" w:ascii="宋体" w:hAnsi="宋体" w:eastAsia="宋体" w:cs="宋体"/>
          <w:b/>
          <w:bCs/>
          <w:sz w:val="24"/>
          <w:szCs w:val="24"/>
        </w:rPr>
        <w:t xml:space="preserve">图 </w:t>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SEQ 图 \* ARABIC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6</w:t>
      </w:r>
      <w:r>
        <w:rPr>
          <w:rFonts w:hint="eastAsia" w:ascii="宋体" w:hAnsi="宋体" w:eastAsia="宋体" w:cs="宋体"/>
          <w:b/>
          <w:bCs/>
          <w:sz w:val="24"/>
          <w:szCs w:val="24"/>
        </w:rPr>
        <w:fldChar w:fldCharType="end"/>
      </w:r>
      <w:bookmarkEnd w:id="18"/>
      <w:r>
        <w:rPr>
          <w:rFonts w:hint="eastAsia" w:ascii="宋体" w:hAnsi="宋体" w:eastAsia="宋体" w:cs="宋体"/>
          <w:b/>
          <w:bCs/>
          <w:sz w:val="24"/>
          <w:szCs w:val="24"/>
          <w:lang w:eastAsia="zh-CN"/>
        </w:rPr>
        <w:t xml:space="preserve"> 工厂场景下基于NavMesh采样的结果</w:t>
      </w:r>
    </w:p>
    <w:p>
      <w:pPr>
        <w:rPr>
          <w:rFonts w:hint="eastAsia" w:ascii="黑体" w:hAnsi="黑体" w:eastAsia="黑体" w:cs="黑体"/>
          <w:b w:val="0"/>
          <w:bCs w:val="0"/>
          <w:lang w:val="en-US" w:eastAsia="zh-CN"/>
        </w:rPr>
      </w:pPr>
      <w:r>
        <w:rPr>
          <w:rFonts w:hint="eastAsia" w:ascii="黑体" w:hAnsi="黑体" w:eastAsia="黑体" w:cs="黑体"/>
          <w:b w:val="0"/>
          <w:bCs w:val="0"/>
          <w:sz w:val="24"/>
          <w:szCs w:val="24"/>
          <w:lang w:val="en-US" w:eastAsia="zh-CN"/>
        </w:rPr>
        <w:t>3.2.2 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sz w:val="24"/>
          <w:szCs w:val="24"/>
          <w:lang w:val="en-US" w:eastAsia="zh-CN"/>
        </w:rPr>
      </w:pPr>
      <w:r>
        <w:rPr>
          <w:rFonts w:hint="eastAsia" w:ascii="宋体" w:hAnsi="宋体"/>
          <w:sz w:val="24"/>
          <w:szCs w:val="24"/>
          <w:lang w:val="en-US" w:eastAsia="zh-CN"/>
        </w:rPr>
        <w:t>采样结束后，共获得3212个采样点，每个采样点都需要实时计算视点质量VQ，并在用户操作物体的过程中实时更新并可视化，因为采样点过多，每个采样点需要三个相机分别绘制Target、Object、所有物体，分别用于计算S_target、S_obj。如果同时计算3212个采样点，将导致帧率下降甚至程序直接崩溃。因此，在采样结束后使用预处理过程删去一些不必要的点，这些点在整个物体的操作过程中被用到的可能性很小。我们预处理阶段每隔0.1s访问一个采样点，采样点绘制并计算S_target，S_obj。通过设置阈值将S_target和S_obj过低的采样点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sz w:val="24"/>
          <w:szCs w:val="24"/>
          <w:lang w:val="en-US" w:eastAsia="zh-CN"/>
        </w:rPr>
      </w:pPr>
      <w:r>
        <w:rPr>
          <w:rFonts w:hint="eastAsia" w:ascii="宋体" w:hAnsi="宋体"/>
          <w:sz w:val="24"/>
          <w:szCs w:val="24"/>
          <w:lang w:val="en-US" w:eastAsia="zh-CN"/>
        </w:rPr>
        <w:t>为了防止出现两物体之间距离较远，设置相机朝向不能同时看到两个物体的问题。我们根据Object和Target的距离决定使用一遍预处理还是使用两遍预处理策略，如果距离近则采用一遍预处理策略，如果距离远则增加一轮预处理。第一遍使相机朝向Target和Object的中点，设置较小的阈值，使得本次预处理保留能够同时看到两个物体的点，用于用户选择较好的视点初始位置。第二遍使相机朝向Target，设置较大的阈值，筛选出靠近Target的一批点。当用户操作Object靠近Target时，使用第二批预处理的点来指引用户操作。采样后将采样点可视化，整个场景俯视图如</w:t>
      </w: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REF _Ref21391 \h </w:instrText>
      </w:r>
      <w:r>
        <w:rPr>
          <w:rFonts w:hint="eastAsia" w:ascii="宋体" w:hAnsi="宋体"/>
          <w:sz w:val="24"/>
          <w:szCs w:val="24"/>
          <w:lang w:val="en-US" w:eastAsia="zh-CN"/>
        </w:rPr>
        <w:fldChar w:fldCharType="separate"/>
      </w:r>
      <w:r>
        <w:rPr>
          <w:rFonts w:hint="eastAsia" w:ascii="宋体" w:hAnsi="宋体" w:eastAsia="宋体" w:cs="宋体"/>
          <w:b/>
          <w:bCs/>
          <w:sz w:val="24"/>
          <w:szCs w:val="24"/>
        </w:rPr>
        <w:t>图 7</w:t>
      </w:r>
      <w:r>
        <w:rPr>
          <w:rFonts w:hint="eastAsia" w:ascii="宋体" w:hAnsi="宋体"/>
          <w:sz w:val="24"/>
          <w:szCs w:val="24"/>
          <w:lang w:val="en-US" w:eastAsia="zh-CN"/>
        </w:rPr>
        <w:fldChar w:fldCharType="end"/>
      </w:r>
      <w:r>
        <w:rPr>
          <w:rFonts w:hint="eastAsia" w:ascii="宋体" w:hAnsi="宋体"/>
          <w:sz w:val="24"/>
          <w:szCs w:val="24"/>
          <w:lang w:val="en-US" w:eastAsia="zh-CN"/>
        </w:rPr>
        <w:t>所示:图中蓝黄色小球为采样点的可视化，红色矩形分别代表两轮预处理后的采样点的结果，前三张图为设置不同阈值所产生的不同结果。预处理后，采样点个数的数量级在百级,最终预处理结果见</w:t>
      </w: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REF _Ref17837 \h </w:instrText>
      </w:r>
      <w:r>
        <w:rPr>
          <w:rFonts w:hint="eastAsia" w:ascii="宋体" w:hAnsi="宋体"/>
          <w:sz w:val="24"/>
          <w:szCs w:val="24"/>
          <w:lang w:val="en-US" w:eastAsia="zh-CN"/>
        </w:rPr>
        <w:fldChar w:fldCharType="separate"/>
      </w:r>
      <w:r>
        <w:rPr>
          <w:rFonts w:hint="eastAsia" w:ascii="宋体" w:hAnsi="宋体" w:eastAsia="宋体" w:cs="宋体"/>
          <w:b/>
          <w:bCs/>
          <w:sz w:val="24"/>
          <w:szCs w:val="24"/>
        </w:rPr>
        <w:t>表 1</w:t>
      </w:r>
      <w:r>
        <w:rPr>
          <w:rFonts w:hint="eastAsia" w:ascii="宋体" w:hAnsi="宋体"/>
          <w:sz w:val="24"/>
          <w:szCs w:val="24"/>
          <w:lang w:val="en-US" w:eastAsia="zh-CN"/>
        </w:rPr>
        <w:fldChar w:fldCharType="end"/>
      </w:r>
      <w:r>
        <w:rPr>
          <w:rFonts w:hint="eastAsia" w:ascii="宋体" w:hAnsi="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294505" cy="3373120"/>
            <wp:effectExtent l="0" t="0" r="10795" b="177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4294505" cy="337312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vertAlign w:val="baseline"/>
          <w:lang w:eastAsia="zh-CN"/>
        </w:rPr>
      </w:pPr>
      <w:bookmarkStart w:id="19" w:name="_Ref21391"/>
      <w:r>
        <w:rPr>
          <w:rFonts w:hint="eastAsia" w:ascii="宋体" w:hAnsi="宋体" w:eastAsia="宋体" w:cs="宋体"/>
          <w:b/>
          <w:bCs/>
          <w:sz w:val="24"/>
          <w:szCs w:val="24"/>
        </w:rPr>
        <w:t xml:space="preserve">图 </w:t>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SEQ 图 \* ARABIC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7</w:t>
      </w:r>
      <w:r>
        <w:rPr>
          <w:rFonts w:hint="eastAsia" w:ascii="宋体" w:hAnsi="宋体" w:eastAsia="宋体" w:cs="宋体"/>
          <w:b/>
          <w:bCs/>
          <w:sz w:val="24"/>
          <w:szCs w:val="24"/>
        </w:rPr>
        <w:fldChar w:fldCharType="end"/>
      </w:r>
      <w:bookmarkEnd w:id="19"/>
      <w:r>
        <w:rPr>
          <w:rFonts w:hint="eastAsia" w:ascii="宋体" w:hAnsi="宋体" w:eastAsia="宋体" w:cs="宋体"/>
          <w:b/>
          <w:bCs/>
          <w:sz w:val="24"/>
          <w:szCs w:val="24"/>
          <w:lang w:eastAsia="zh-CN"/>
        </w:rPr>
        <w:t xml:space="preserve"> 工厂场景下预处理结果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
        <w:gridCol w:w="2998"/>
        <w:gridCol w:w="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1"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d</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vertAlign w:val="baseline"/>
                <w:lang w:eastAsia="zh-CN"/>
              </w:rPr>
            </w:pPr>
            <w:r>
              <w:rPr>
                <w:rFonts w:hint="eastAsia" w:ascii="宋体" w:hAnsi="宋体" w:cs="宋体"/>
                <w:b/>
                <w:bCs/>
                <w:sz w:val="24"/>
                <w:szCs w:val="24"/>
                <w:vertAlign w:val="baseline"/>
                <w:lang w:val="en-US" w:eastAsia="zh-CN"/>
              </w:rPr>
              <w:t>阈值</w:t>
            </w:r>
            <w:r>
              <w:rPr>
                <w:rFonts w:hint="eastAsia" w:ascii="宋体" w:hAnsi="宋体" w:eastAsia="宋体" w:cs="宋体"/>
                <w:b/>
                <w:bCs/>
                <w:sz w:val="24"/>
                <w:szCs w:val="24"/>
                <w:vertAlign w:val="baseline"/>
                <w:lang w:eastAsia="zh-CN"/>
              </w:rPr>
              <w:t>S_tar,S_obj,S_tar_far,d</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13</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3,3,10,5</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108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4.5</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3,3,10,5</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4.5</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10,10,10,5</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4.5</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5,5,20,5</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12</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5,5,20,5</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4.5</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5,5,20,3</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jc w:val="center"/>
        </w:trPr>
        <w:tc>
          <w:tcPr>
            <w:tcW w:w="9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2.1</w:t>
            </w:r>
          </w:p>
        </w:tc>
        <w:tc>
          <w:tcPr>
            <w:tcW w:w="2802"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5,5,20,3</w:t>
            </w:r>
          </w:p>
        </w:tc>
        <w:tc>
          <w:tcPr>
            <w:tcW w:w="71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83</w:t>
            </w:r>
          </w:p>
        </w:tc>
      </w:tr>
    </w:tbl>
    <w:p>
      <w:pPr>
        <w:pStyle w:val="6"/>
        <w:rPr>
          <w:rFonts w:hint="eastAsia" w:ascii="宋体" w:hAnsi="宋体" w:eastAsia="宋体" w:cs="宋体"/>
          <w:b/>
          <w:bCs/>
          <w:sz w:val="24"/>
          <w:szCs w:val="24"/>
          <w:lang w:eastAsia="zh-CN"/>
        </w:rPr>
      </w:pPr>
      <w:bookmarkStart w:id="20" w:name="_Ref17837"/>
      <w:r>
        <w:rPr>
          <w:rFonts w:hint="eastAsia" w:ascii="宋体" w:hAnsi="宋体" w:eastAsia="宋体" w:cs="宋体"/>
          <w:b/>
          <w:bCs/>
          <w:sz w:val="24"/>
          <w:szCs w:val="24"/>
        </w:rPr>
        <w:t xml:space="preserve">表 </w:t>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SEQ 表 \* ARABIC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bookmarkEnd w:id="20"/>
      <w:r>
        <w:rPr>
          <w:rFonts w:hint="eastAsia" w:ascii="宋体" w:hAnsi="宋体" w:eastAsia="宋体" w:cs="宋体"/>
          <w:b/>
          <w:bCs/>
          <w:sz w:val="24"/>
          <w:szCs w:val="24"/>
          <w:lang w:eastAsia="zh-CN"/>
        </w:rPr>
        <w:t xml:space="preserve"> 1.5m*1.5m间隔采样(</w:t>
      </w:r>
      <w:r>
        <w:rPr>
          <w:rFonts w:hint="eastAsia" w:ascii="宋体" w:hAnsi="宋体" w:cs="宋体"/>
          <w:b/>
          <w:bCs/>
          <w:sz w:val="24"/>
          <w:szCs w:val="24"/>
          <w:lang w:val="en-US" w:eastAsia="zh-CN"/>
        </w:rPr>
        <w:t>3212个采样点</w:t>
      </w:r>
      <w:r>
        <w:rPr>
          <w:rFonts w:hint="eastAsia" w:ascii="宋体" w:hAnsi="宋体" w:eastAsia="宋体" w:cs="宋体"/>
          <w:b/>
          <w:bCs/>
          <w:sz w:val="24"/>
          <w:szCs w:val="24"/>
          <w:lang w:eastAsia="zh-CN"/>
        </w:rPr>
        <w:t>)下设置不同阈值的预处理结果</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4"/>
          <w:lang w:eastAsia="zh-CN"/>
        </w:rPr>
      </w:pPr>
    </w:p>
    <w:p>
      <w:pPr>
        <w:ind w:left="420" w:leftChars="0" w:firstLine="420" w:firstLineChars="0"/>
        <w:rPr>
          <w:rFonts w:hint="eastAsia" w:ascii="宋体" w:hAnsi="宋体" w:eastAsia="宋体" w:cs="宋体"/>
          <w:b/>
          <w:bCs/>
          <w:sz w:val="24"/>
          <w:szCs w:val="24"/>
          <w:lang w:eastAsia="zh-CN"/>
        </w:rPr>
      </w:pPr>
    </w:p>
    <w:p>
      <w:pPr>
        <w:rPr>
          <w:rFonts w:hint="eastAsia" w:ascii="宋体" w:hAnsi="宋体" w:eastAsia="宋体" w:cs="宋体"/>
          <w:b/>
          <w:bCs/>
          <w:sz w:val="24"/>
          <w:szCs w:val="24"/>
          <w:lang w:eastAsia="zh-CN"/>
        </w:rPr>
      </w:pP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3.2.3 批处理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sz w:val="24"/>
          <w:szCs w:val="24"/>
          <w:lang w:val="en-US" w:eastAsia="zh-CN"/>
        </w:rPr>
      </w:pPr>
      <w:r>
        <w:rPr>
          <w:rFonts w:hint="eastAsia" w:ascii="宋体" w:hAnsi="宋体"/>
          <w:sz w:val="24"/>
          <w:szCs w:val="24"/>
          <w:lang w:val="en-US" w:eastAsia="zh-CN"/>
        </w:rPr>
        <w:t>即使将3212个采样点筛选到约100个采样点，依然不能够满足帧率要求。我们测试的数据显示，25个采样点同时运行时帧率能够达到30fps。因此为了保证帧率高于30fps，我们采用了批处理技术。我们调整一帧所使用的采样点数量，使用批处理的方法，每一批处理更新25个采样点的VQ。在30fps的情况下，基本能够保证0.2s更新一次TRS场。</w:t>
      </w:r>
    </w:p>
    <w:p>
      <w:pPr>
        <w:pStyle w:val="2"/>
        <w:numPr>
          <w:ilvl w:val="0"/>
          <w:numId w:val="1"/>
        </w:numPr>
      </w:pPr>
      <w:bookmarkStart w:id="21" w:name="_Toc91583398"/>
      <w:bookmarkStart w:id="22" w:name="_Toc1519"/>
      <w:bookmarkStart w:id="23" w:name="_Toc99476114"/>
      <w:r>
        <w:rPr>
          <w:rFonts w:hint="eastAsia"/>
        </w:rPr>
        <w:t>后续</w:t>
      </w:r>
      <w:r>
        <w:t>研究计划</w:t>
      </w:r>
      <w:bookmarkEnd w:id="21"/>
      <w:bookmarkEnd w:id="22"/>
      <w:bookmarkEnd w:id="23"/>
      <w:bookmarkStart w:id="24" w:name="_Toc59110690"/>
      <w:bookmarkEnd w:id="24"/>
      <w:bookmarkStart w:id="25" w:name="_Toc59227192"/>
      <w:bookmarkEnd w:id="25"/>
      <w:bookmarkStart w:id="26" w:name="_Toc59195813"/>
      <w:bookmarkEnd w:id="26"/>
      <w:bookmarkStart w:id="27" w:name="_Toc59206718"/>
      <w:bookmarkEnd w:id="27"/>
      <w:bookmarkStart w:id="28" w:name="_Toc59225753"/>
      <w:bookmarkEnd w:id="28"/>
      <w:bookmarkStart w:id="29" w:name="_Toc59225797"/>
      <w:bookmarkEnd w:id="29"/>
      <w:bookmarkStart w:id="30" w:name="_Toc59215629"/>
      <w:bookmarkEnd w:id="30"/>
    </w:p>
    <w:p>
      <w:pPr>
        <w:pStyle w:val="25"/>
        <w:numPr>
          <w:ilvl w:val="0"/>
          <w:numId w:val="3"/>
        </w:numPr>
        <w:spacing w:line="360" w:lineRule="auto"/>
        <w:ind w:firstLineChars="0"/>
        <w:rPr>
          <w:rFonts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1</w:t>
      </w:r>
      <w:r>
        <w:rPr>
          <w:rFonts w:hint="eastAsia" w:ascii="宋体" w:hAnsi="宋体" w:cs="宋体"/>
          <w:sz w:val="24"/>
          <w:szCs w:val="24"/>
        </w:rPr>
        <w:t xml:space="preserve"> – 2022.</w:t>
      </w:r>
      <w:r>
        <w:rPr>
          <w:rFonts w:hint="eastAsia" w:ascii="宋体" w:hAnsi="宋体" w:cs="宋体"/>
          <w:sz w:val="24"/>
          <w:szCs w:val="24"/>
          <w:lang w:val="en-US" w:eastAsia="zh-CN"/>
        </w:rPr>
        <w:t>3</w:t>
      </w:r>
      <w:r>
        <w:rPr>
          <w:rFonts w:hint="eastAsia" w:ascii="宋体" w:hAnsi="宋体" w:cs="宋体"/>
          <w:sz w:val="24"/>
          <w:szCs w:val="24"/>
        </w:rPr>
        <w:t>：</w:t>
      </w:r>
      <w:r>
        <w:rPr>
          <w:rFonts w:hint="eastAsia" w:ascii="宋体" w:hAnsi="宋体" w:cs="宋体"/>
          <w:b/>
          <w:bCs/>
          <w:sz w:val="24"/>
          <w:szCs w:val="24"/>
        </w:rPr>
        <w:t>阅读文献，分析国内外研究现状。</w:t>
      </w:r>
    </w:p>
    <w:p>
      <w:pPr>
        <w:pStyle w:val="25"/>
        <w:numPr>
          <w:ilvl w:val="0"/>
          <w:numId w:val="3"/>
        </w:numPr>
        <w:spacing w:line="360" w:lineRule="auto"/>
        <w:ind w:firstLineChars="0"/>
        <w:rPr>
          <w:rFonts w:ascii="宋体" w:hAnsi="宋体" w:cs="宋体"/>
          <w:sz w:val="24"/>
          <w:szCs w:val="24"/>
        </w:rPr>
      </w:pPr>
      <w:r>
        <w:rPr>
          <w:rFonts w:hint="eastAsia" w:ascii="宋体" w:hAnsi="宋体" w:cs="宋体"/>
          <w:sz w:val="24"/>
          <w:szCs w:val="24"/>
        </w:rPr>
        <w:t>2022.</w:t>
      </w:r>
      <w:r>
        <w:rPr>
          <w:rFonts w:hint="eastAsia" w:ascii="宋体" w:hAnsi="宋体" w:cs="宋体"/>
          <w:sz w:val="24"/>
          <w:szCs w:val="24"/>
          <w:lang w:val="en-US" w:eastAsia="zh-CN"/>
        </w:rPr>
        <w:t>3</w:t>
      </w:r>
      <w:r>
        <w:rPr>
          <w:rFonts w:hint="eastAsia" w:ascii="宋体" w:hAnsi="宋体" w:cs="宋体"/>
          <w:sz w:val="24"/>
          <w:szCs w:val="24"/>
        </w:rPr>
        <w:t xml:space="preserve"> – 2022.</w:t>
      </w:r>
      <w:r>
        <w:rPr>
          <w:rFonts w:hint="eastAsia" w:ascii="宋体" w:hAnsi="宋体" w:cs="宋体"/>
          <w:sz w:val="24"/>
          <w:szCs w:val="24"/>
          <w:lang w:val="en-US" w:eastAsia="zh-CN"/>
        </w:rPr>
        <w:t>4</w:t>
      </w:r>
      <w:r>
        <w:rPr>
          <w:rFonts w:hint="eastAsia" w:ascii="宋体" w:hAnsi="宋体" w:cs="宋体"/>
          <w:sz w:val="24"/>
          <w:szCs w:val="24"/>
        </w:rPr>
        <w:t>：</w:t>
      </w:r>
      <w:r>
        <w:rPr>
          <w:rFonts w:hint="eastAsia" w:ascii="宋体" w:hAnsi="宋体" w:cs="宋体"/>
          <w:b/>
          <w:sz w:val="24"/>
          <w:szCs w:val="24"/>
          <w:lang w:val="en-US" w:eastAsia="zh-CN"/>
        </w:rPr>
        <w:t>操纵导航场视点采样</w:t>
      </w:r>
    </w:p>
    <w:p>
      <w:pPr>
        <w:pStyle w:val="25"/>
        <w:numPr>
          <w:ilvl w:val="0"/>
          <w:numId w:val="3"/>
        </w:numPr>
        <w:spacing w:line="360" w:lineRule="auto"/>
        <w:ind w:firstLineChars="0"/>
        <w:rPr>
          <w:rFonts w:ascii="宋体" w:hAnsi="宋体" w:cs="宋体"/>
          <w:sz w:val="24"/>
          <w:szCs w:val="24"/>
        </w:rPr>
      </w:pPr>
      <w:r>
        <w:rPr>
          <w:rFonts w:hint="eastAsia" w:ascii="宋体" w:hAnsi="宋体" w:cs="宋体"/>
          <w:sz w:val="24"/>
          <w:szCs w:val="24"/>
        </w:rPr>
        <w:t>2022.</w:t>
      </w:r>
      <w:r>
        <w:rPr>
          <w:rFonts w:hint="eastAsia" w:ascii="宋体" w:hAnsi="宋体" w:cs="宋体"/>
          <w:sz w:val="24"/>
          <w:szCs w:val="24"/>
          <w:lang w:val="en-US" w:eastAsia="zh-CN"/>
        </w:rPr>
        <w:t xml:space="preserve">4 </w:t>
      </w:r>
      <w:r>
        <w:rPr>
          <w:rFonts w:hint="eastAsia" w:ascii="宋体" w:hAnsi="宋体" w:cs="宋体"/>
          <w:sz w:val="24"/>
          <w:szCs w:val="24"/>
        </w:rPr>
        <w:t>– 2022.</w:t>
      </w:r>
      <w:r>
        <w:rPr>
          <w:rFonts w:hint="eastAsia" w:ascii="宋体" w:hAnsi="宋体" w:cs="宋体"/>
          <w:sz w:val="24"/>
          <w:szCs w:val="24"/>
          <w:lang w:val="en-US" w:eastAsia="zh-CN"/>
        </w:rPr>
        <w:t>5</w:t>
      </w:r>
      <w:r>
        <w:rPr>
          <w:rFonts w:hint="eastAsia" w:ascii="宋体" w:hAnsi="宋体" w:cs="宋体"/>
          <w:sz w:val="24"/>
          <w:szCs w:val="24"/>
        </w:rPr>
        <w:t>：</w:t>
      </w:r>
      <w:r>
        <w:rPr>
          <w:rFonts w:hint="eastAsia" w:ascii="宋体" w:hAnsi="宋体" w:cs="宋体"/>
          <w:b/>
          <w:sz w:val="24"/>
          <w:szCs w:val="24"/>
        </w:rPr>
        <w:t>实时更新TRS操纵</w:t>
      </w:r>
      <w:r>
        <w:rPr>
          <w:rFonts w:hint="eastAsia" w:ascii="宋体" w:hAnsi="宋体" w:cs="宋体"/>
          <w:b/>
          <w:sz w:val="24"/>
          <w:szCs w:val="24"/>
          <w:lang w:val="en-US" w:eastAsia="zh-CN"/>
        </w:rPr>
        <w:t>度量函数</w:t>
      </w:r>
      <w:r>
        <w:rPr>
          <w:rFonts w:hint="eastAsia" w:ascii="宋体" w:hAnsi="宋体" w:cs="宋体"/>
          <w:b/>
          <w:sz w:val="24"/>
          <w:szCs w:val="24"/>
          <w:lang w:eastAsia="zh-CN"/>
        </w:rPr>
        <w:t>，</w:t>
      </w:r>
      <w:r>
        <w:rPr>
          <w:rFonts w:hint="eastAsia" w:ascii="宋体" w:hAnsi="宋体" w:cs="宋体"/>
          <w:b/>
          <w:sz w:val="24"/>
          <w:szCs w:val="24"/>
          <w:lang w:val="en-US" w:eastAsia="zh-CN"/>
        </w:rPr>
        <w:t>设计导航场可视化方式</w:t>
      </w:r>
      <w:r>
        <w:rPr>
          <w:rFonts w:hint="eastAsia" w:ascii="宋体" w:hAnsi="宋体" w:cs="宋体"/>
          <w:b/>
          <w:sz w:val="24"/>
          <w:szCs w:val="24"/>
        </w:rPr>
        <w:t>并做实验</w:t>
      </w:r>
    </w:p>
    <w:p>
      <w:pPr>
        <w:pStyle w:val="25"/>
        <w:numPr>
          <w:ilvl w:val="0"/>
          <w:numId w:val="3"/>
        </w:numPr>
        <w:spacing w:line="360" w:lineRule="auto"/>
        <w:ind w:firstLineChars="0"/>
        <w:rPr>
          <w:rFonts w:ascii="宋体" w:hAnsi="宋体" w:cs="宋体"/>
          <w:sz w:val="24"/>
          <w:szCs w:val="24"/>
        </w:rPr>
      </w:pPr>
      <w:r>
        <w:rPr>
          <w:rFonts w:hint="eastAsia" w:ascii="宋体" w:hAnsi="宋体" w:cs="宋体"/>
          <w:sz w:val="24"/>
          <w:szCs w:val="24"/>
        </w:rPr>
        <w:t>2022.</w:t>
      </w:r>
      <w:r>
        <w:rPr>
          <w:rFonts w:hint="eastAsia" w:ascii="宋体" w:hAnsi="宋体" w:cs="宋体"/>
          <w:sz w:val="24"/>
          <w:szCs w:val="24"/>
          <w:lang w:val="en-US" w:eastAsia="zh-CN"/>
        </w:rPr>
        <w:t>5</w:t>
      </w:r>
      <w:r>
        <w:rPr>
          <w:rFonts w:hint="eastAsia" w:ascii="宋体" w:hAnsi="宋体" w:cs="宋体"/>
          <w:sz w:val="24"/>
          <w:szCs w:val="24"/>
        </w:rPr>
        <w:t xml:space="preserve"> – 2022.</w:t>
      </w:r>
      <w:r>
        <w:rPr>
          <w:rFonts w:hint="eastAsia" w:ascii="宋体" w:hAnsi="宋体" w:cs="宋体"/>
          <w:sz w:val="24"/>
          <w:szCs w:val="24"/>
          <w:lang w:val="en-US" w:eastAsia="zh-CN"/>
        </w:rPr>
        <w:t>6</w:t>
      </w:r>
      <w:r>
        <w:rPr>
          <w:rFonts w:hint="eastAsia" w:ascii="宋体" w:hAnsi="宋体" w:cs="宋体"/>
          <w:sz w:val="24"/>
          <w:szCs w:val="24"/>
        </w:rPr>
        <w:t>：</w:t>
      </w:r>
      <w:r>
        <w:rPr>
          <w:rFonts w:hint="eastAsia" w:ascii="宋体" w:hAnsi="宋体" w:cs="宋体"/>
          <w:b/>
          <w:bCs/>
          <w:sz w:val="24"/>
          <w:szCs w:val="24"/>
        </w:rPr>
        <w:t>论文撰写</w:t>
      </w:r>
    </w:p>
    <w:p>
      <w:pPr>
        <w:widowControl/>
        <w:spacing w:line="360" w:lineRule="auto"/>
        <w:jc w:val="left"/>
        <w:rPr>
          <w:rFonts w:ascii="宋体" w:hAnsi="宋体"/>
          <w:sz w:val="24"/>
          <w:szCs w:val="24"/>
        </w:rPr>
      </w:pPr>
      <w:bookmarkStart w:id="31" w:name="_Toc91583401"/>
      <w:r>
        <w:rPr>
          <w:rFonts w:ascii="宋体" w:hAnsi="宋体"/>
          <w:sz w:val="24"/>
          <w:szCs w:val="24"/>
        </w:rPr>
        <w:br w:type="page"/>
      </w:r>
    </w:p>
    <w:p>
      <w:pPr>
        <w:pStyle w:val="2"/>
        <w:numPr>
          <w:ilvl w:val="0"/>
          <w:numId w:val="1"/>
        </w:numPr>
        <w:spacing w:line="360" w:lineRule="auto"/>
      </w:pPr>
      <w:bookmarkStart w:id="32" w:name="_Toc31168"/>
      <w:r>
        <w:t>主要参考文献</w:t>
      </w:r>
      <w:bookmarkEnd w:id="31"/>
      <w:bookmarkEnd w:id="32"/>
    </w:p>
    <w:p>
      <w:pPr>
        <w:pStyle w:val="25"/>
        <w:numPr>
          <w:ilvl w:val="0"/>
          <w:numId w:val="4"/>
        </w:numPr>
        <w:spacing w:line="360" w:lineRule="auto"/>
        <w:ind w:firstLineChars="0"/>
        <w:rPr>
          <w:szCs w:val="24"/>
        </w:rPr>
      </w:pPr>
      <w:bookmarkStart w:id="33" w:name="_Ref96713979"/>
      <w:r>
        <w:rPr>
          <w:szCs w:val="24"/>
        </w:rPr>
        <w:t>D. Mendes, F. M. Caputo, A. Giachetti, A. Ferreira, and J. Jorge. A survey on 3d virtual object manipulation: From the desktop to immersive virtual environments. In Computer Graphics Forum, 2019.</w:t>
      </w:r>
      <w:bookmarkEnd w:id="33"/>
    </w:p>
    <w:p>
      <w:pPr>
        <w:pStyle w:val="25"/>
        <w:numPr>
          <w:ilvl w:val="0"/>
          <w:numId w:val="4"/>
        </w:numPr>
        <w:spacing w:line="360" w:lineRule="auto"/>
        <w:ind w:firstLineChars="0"/>
      </w:pPr>
      <w:bookmarkStart w:id="34" w:name="_Ref96714273"/>
      <w:r>
        <w:t>S. Frees, G. D. Kessler, and E. Kay. Prism interaction for enhancing control in immersive virtual environments. ACM Trans. Comput.-Hum. Interact., 14(1):2–es, May 2007</w:t>
      </w:r>
      <w:r>
        <w:rPr>
          <w:rFonts w:hint="eastAsia"/>
        </w:rPr>
        <w:t>.</w:t>
      </w:r>
      <w:bookmarkEnd w:id="34"/>
    </w:p>
    <w:p>
      <w:pPr>
        <w:pStyle w:val="25"/>
        <w:numPr>
          <w:ilvl w:val="0"/>
          <w:numId w:val="4"/>
        </w:numPr>
        <w:spacing w:line="360" w:lineRule="auto"/>
        <w:ind w:firstLineChars="0"/>
      </w:pPr>
      <w:bookmarkStart w:id="35" w:name="_Ref96714275"/>
      <w:r>
        <w:t>A. Gelman. Analysis of variance . Quality Control Applied Statistics, 20(1):pags. 295–300, 2005.</w:t>
      </w:r>
      <w:bookmarkEnd w:id="35"/>
    </w:p>
    <w:p>
      <w:pPr>
        <w:pStyle w:val="25"/>
        <w:numPr>
          <w:ilvl w:val="0"/>
          <w:numId w:val="4"/>
        </w:numPr>
        <w:spacing w:line="360" w:lineRule="auto"/>
        <w:ind w:firstLineChars="0"/>
      </w:pPr>
      <w:bookmarkStart w:id="36" w:name="_Ref96714276"/>
      <w:bookmarkStart w:id="37" w:name="_Ref96714632"/>
      <w:r>
        <w:t>P. C. Gloumeau, W. Stuerzlinger, and J. H. Han. Pinnpivot: Object manipulation using pins in immersive virtual environments. IEEE Transactions on Visualization and Computer Graphics, PP(99):1–1, 2020</w:t>
      </w:r>
      <w:bookmarkEnd w:id="36"/>
      <w:r>
        <w:rPr>
          <w:rFonts w:hint="eastAsia"/>
        </w:rPr>
        <w:t>.</w:t>
      </w:r>
      <w:bookmarkEnd w:id="37"/>
    </w:p>
    <w:p>
      <w:pPr>
        <w:pStyle w:val="25"/>
        <w:numPr>
          <w:ilvl w:val="0"/>
          <w:numId w:val="4"/>
        </w:numPr>
        <w:spacing w:line="360" w:lineRule="auto"/>
        <w:ind w:firstLineChars="0"/>
      </w:pPr>
      <w:bookmarkStart w:id="38" w:name="_Ref96714387"/>
      <w:r>
        <w:t>I. Poupyrev, M. Billinghurst, S. Weghorst, and T. Ichikawa. The go-go interaction technique: Non-linear mapping for direct manipulation in vr. 1998.</w:t>
      </w:r>
      <w:bookmarkEnd w:id="38"/>
    </w:p>
    <w:p>
      <w:pPr>
        <w:pStyle w:val="25"/>
        <w:numPr>
          <w:ilvl w:val="0"/>
          <w:numId w:val="4"/>
        </w:numPr>
        <w:spacing w:line="360" w:lineRule="auto"/>
        <w:ind w:firstLineChars="0"/>
      </w:pPr>
      <w:bookmarkStart w:id="39" w:name="_Ref96714435"/>
      <w:r>
        <w:t>D. A. Bowman and L. F. Hodges. An evaluation of techniques for grabbing and manipulating remote objects in immersive virtual environments. ACM, 1999.</w:t>
      </w:r>
      <w:bookmarkEnd w:id="39"/>
    </w:p>
    <w:p>
      <w:pPr>
        <w:pStyle w:val="25"/>
        <w:numPr>
          <w:ilvl w:val="0"/>
          <w:numId w:val="4"/>
        </w:numPr>
        <w:spacing w:line="360" w:lineRule="auto"/>
        <w:ind w:firstLineChars="0"/>
      </w:pPr>
      <w:bookmarkStart w:id="40" w:name="_Ref96714494"/>
      <w:r>
        <w:t>L. Aguerreche, T. Duval, and A. Lecuyer. 3-hand manipulation of virtual ´ objects. In Eurographics, 2009.</w:t>
      </w:r>
      <w:bookmarkEnd w:id="40"/>
    </w:p>
    <w:p>
      <w:pPr>
        <w:pStyle w:val="25"/>
        <w:numPr>
          <w:ilvl w:val="0"/>
          <w:numId w:val="4"/>
        </w:numPr>
        <w:spacing w:line="360" w:lineRule="auto"/>
        <w:ind w:firstLineChars="0"/>
      </w:pPr>
      <w:bookmarkStart w:id="41" w:name="_Ref96714544"/>
      <w:r>
        <w:t>T. T. H. Nguyen and T. Duval. 3-point++: a new technique for 3d manipulation of virtual objects. 2013.</w:t>
      </w:r>
      <w:bookmarkEnd w:id="41"/>
    </w:p>
    <w:p>
      <w:pPr>
        <w:pStyle w:val="25"/>
        <w:numPr>
          <w:ilvl w:val="0"/>
          <w:numId w:val="4"/>
        </w:numPr>
        <w:spacing w:line="360" w:lineRule="auto"/>
        <w:ind w:firstLineChars="0"/>
      </w:pPr>
      <w:bookmarkStart w:id="42" w:name="_Ref96714590"/>
      <w:r>
        <w:t>T.-T. H. Nguyen, T. Duval, and C. Pontonnier. A new direct manipulation technique for immersive 3d virtual environments. In International Conference on Artificial Reality and Telexistence, 2014.</w:t>
      </w:r>
      <w:bookmarkEnd w:id="42"/>
    </w:p>
    <w:p>
      <w:pPr>
        <w:pStyle w:val="25"/>
        <w:numPr>
          <w:ilvl w:val="0"/>
          <w:numId w:val="4"/>
        </w:numPr>
        <w:spacing w:line="360" w:lineRule="auto"/>
        <w:ind w:firstLineChars="0"/>
      </w:pPr>
      <w:r>
        <w:t xml:space="preserve"> </w:t>
      </w:r>
      <w:bookmarkStart w:id="43" w:name="_Ref96714765"/>
      <w:r>
        <w:t>S. Frees and G. Kessler. Precise and rapid interaction through scaled manipulation in immersive virtual environments. In IEEE Proceedings. VR 2005. Virtual Reality, 2005., pp. 99–106, 2005. doi: 10.1109/VR. 2005.1492759</w:t>
      </w:r>
      <w:bookmarkEnd w:id="43"/>
    </w:p>
    <w:p>
      <w:pPr>
        <w:pStyle w:val="25"/>
        <w:numPr>
          <w:ilvl w:val="0"/>
          <w:numId w:val="4"/>
        </w:numPr>
        <w:spacing w:line="360" w:lineRule="auto"/>
        <w:ind w:firstLineChars="0"/>
      </w:pPr>
      <w:r>
        <w:rPr>
          <w:rFonts w:hint="eastAsia"/>
        </w:rPr>
        <w:t xml:space="preserve"> </w:t>
      </w:r>
      <w:bookmarkStart w:id="44" w:name="_Ref96715283"/>
      <w:r>
        <w:t>C. Wilkes and D. A. Bowman. Advantages of velocity-based scaling for distant 3d manipulation. In Proceedings of the 2008 ACM Symposium on Virtual Reality Software and Technology, VRST ’08, p. 23–29. Association for Computing Machinery, New York, NY, USA, 2008.</w:t>
      </w:r>
      <w:bookmarkEnd w:id="44"/>
      <w:r>
        <w:t xml:space="preserve"> </w:t>
      </w:r>
    </w:p>
    <w:p>
      <w:pPr>
        <w:pStyle w:val="25"/>
        <w:numPr>
          <w:ilvl w:val="0"/>
          <w:numId w:val="4"/>
        </w:numPr>
        <w:spacing w:line="360" w:lineRule="auto"/>
        <w:ind w:firstLineChars="0"/>
      </w:pPr>
      <w:r>
        <w:t xml:space="preserve"> </w:t>
      </w:r>
      <w:bookmarkStart w:id="45" w:name="_Ref96715327"/>
      <w:r>
        <w:t>J. S. Pierce and R. Pausch. Comparing voodoo dolls and homer: exploring the importance of feedback in virtual environments. In Proceedings of the SIGCHI Conference on Human Factors in Computing Systems, pp. 105–112, 2002.</w:t>
      </w:r>
      <w:bookmarkEnd w:id="45"/>
    </w:p>
    <w:p>
      <w:pPr>
        <w:pStyle w:val="25"/>
        <w:numPr>
          <w:ilvl w:val="0"/>
          <w:numId w:val="4"/>
        </w:numPr>
        <w:spacing w:line="360" w:lineRule="auto"/>
        <w:ind w:firstLineChars="0"/>
      </w:pPr>
      <w:r>
        <w:t xml:space="preserve"> </w:t>
      </w:r>
      <w:bookmarkStart w:id="46" w:name="_Ref96715413"/>
      <w:r>
        <w:t>C. Wilkes and D. A. Bowman. Advantages of velocity-based scaling for distant 3d manipulation. In Virtual Reality Software and Technology, 2008.</w:t>
      </w:r>
      <w:bookmarkEnd w:id="46"/>
    </w:p>
    <w:p>
      <w:pPr>
        <w:pStyle w:val="25"/>
        <w:numPr>
          <w:ilvl w:val="0"/>
          <w:numId w:val="4"/>
        </w:numPr>
        <w:spacing w:line="360" w:lineRule="auto"/>
        <w:ind w:firstLineChars="0"/>
      </w:pPr>
      <w:r>
        <w:t xml:space="preserve"> </w:t>
      </w:r>
      <w:bookmarkStart w:id="47" w:name="_Ref96715448"/>
      <w:r>
        <w:t>N. Osawa. Two-handed and one-handed techniques for precise and efficient manipulation in immersive virtual environments. In G. Bebis, R. Boyle, B. Parvin, D. Koracin, P. Remagnino, F. Porikli, J. Peters, J. Klosowski, L. Arns, Y. K. Chun, T.-M. Rhyne, and L. Monroe, eds., Advances in Visual Computing, pp. 987–997. Springer Berlin Heidelberg, Berlin, Heidelberg, 2008.</w:t>
      </w:r>
      <w:bookmarkEnd w:id="47"/>
    </w:p>
    <w:p>
      <w:pPr>
        <w:pStyle w:val="25"/>
        <w:numPr>
          <w:ilvl w:val="0"/>
          <w:numId w:val="4"/>
        </w:numPr>
        <w:spacing w:line="360" w:lineRule="auto"/>
        <w:ind w:firstLineChars="0"/>
      </w:pPr>
      <w:r>
        <w:t xml:space="preserve"> </w:t>
      </w:r>
      <w:bookmarkStart w:id="48" w:name="_Ref96715521"/>
      <w:r>
        <w:t>H. Kim, G. A. Lee, and M. Billinghurst. A non-linear mapping technique for bare-hand interaction in large virtual environments. In Australasian Computer-Human Interaction Conference, 2015.</w:t>
      </w:r>
      <w:bookmarkEnd w:id="48"/>
    </w:p>
    <w:p>
      <w:pPr>
        <w:pStyle w:val="25"/>
        <w:numPr>
          <w:ilvl w:val="0"/>
          <w:numId w:val="4"/>
        </w:numPr>
        <w:spacing w:line="360" w:lineRule="auto"/>
        <w:ind w:firstLineChars="0"/>
      </w:pPr>
      <w:bookmarkStart w:id="49" w:name="_Ref96715529"/>
      <w:r>
        <w:t xml:space="preserve"> K. Kim, R. L. Lawrence, N. Kyllonen, P. M. Ludewig, A. M. Ellingson, and D. F. Keefe. Anatomical 2d/3d shape-matching in virtual reality: A user interface for quantifying joint kinematics with radiographic imaging. In Symposium on 3D User Interfaces, 2017.</w:t>
      </w:r>
      <w:bookmarkEnd w:id="49"/>
    </w:p>
    <w:p>
      <w:pPr>
        <w:pStyle w:val="25"/>
        <w:numPr>
          <w:ilvl w:val="0"/>
          <w:numId w:val="4"/>
        </w:numPr>
        <w:spacing w:line="360" w:lineRule="auto"/>
        <w:ind w:firstLineChars="0"/>
      </w:pPr>
      <w:r>
        <w:t xml:space="preserve"> </w:t>
      </w:r>
      <w:bookmarkStart w:id="50" w:name="_Ref96715564"/>
      <w:r>
        <w:t>S. Freitag, B. Weyers, and T. W. Kuhlen. Automatic speed adjustment for travel through immersive virtual environments based on viewpoint quality. In 3d User Interfaces, 2016</w:t>
      </w:r>
      <w:bookmarkEnd w:id="50"/>
      <w:r>
        <w:t>.</w:t>
      </w:r>
    </w:p>
    <w:p>
      <w:pPr>
        <w:pStyle w:val="25"/>
        <w:numPr>
          <w:ilvl w:val="0"/>
          <w:numId w:val="4"/>
        </w:numPr>
        <w:spacing w:line="360" w:lineRule="auto"/>
        <w:ind w:firstLineChars="0"/>
      </w:pPr>
      <w:r>
        <w:t xml:space="preserve"> </w:t>
      </w:r>
      <w:bookmarkStart w:id="51" w:name="_Ref96715610"/>
      <w:r>
        <w:t>S. Freitag, B. Weyers, and T. W. Kuhlen. Interactive exploration assistance for immersive virtual environments based on object visibility and viewpoint quality. In IEEE Virtual Reality 2018, 2018.</w:t>
      </w:r>
      <w:bookmarkEnd w:id="51"/>
    </w:p>
    <w:p>
      <w:pPr>
        <w:pStyle w:val="25"/>
        <w:numPr>
          <w:ilvl w:val="0"/>
          <w:numId w:val="4"/>
        </w:numPr>
        <w:spacing w:line="360" w:lineRule="auto"/>
        <w:ind w:firstLineChars="0"/>
      </w:pPr>
      <w:r>
        <w:t xml:space="preserve"> </w:t>
      </w:r>
      <w:bookmarkStart w:id="52" w:name="_Ref96715653"/>
      <w:r>
        <w:t>A. Cao, L. Wang, Y. Liu, and V. Popescu. Feature guided path redirection for vr navigation. In 2020 IEEE Conference on Virtual Reality and 3D User Interfaces (VR), pp. 137–145, 2020.</w:t>
      </w:r>
      <w:bookmarkEnd w:id="52"/>
      <w:r>
        <w:t xml:space="preserve"> </w:t>
      </w:r>
    </w:p>
    <w:p>
      <w:pPr>
        <w:pStyle w:val="25"/>
        <w:numPr>
          <w:ilvl w:val="0"/>
          <w:numId w:val="4"/>
        </w:numPr>
        <w:spacing w:line="360" w:lineRule="auto"/>
        <w:ind w:firstLineChars="0"/>
      </w:pPr>
      <w:r>
        <w:t xml:space="preserve"> </w:t>
      </w:r>
      <w:bookmarkStart w:id="53" w:name="_Ref96715699"/>
      <w:r>
        <w:t>L. Wang, J. Chen, Q. Ma, and V. Popescu. Disocclusion headlight for selection assistance in vr. In 2021 IEEE Virtual Reality and 3D User Interfaces (VR), pp. 216–225, 2021.</w:t>
      </w:r>
      <w:bookmarkEnd w:id="53"/>
    </w:p>
    <w:p>
      <w:pPr>
        <w:pStyle w:val="25"/>
        <w:numPr>
          <w:ilvl w:val="0"/>
          <w:numId w:val="4"/>
        </w:numPr>
        <w:spacing w:line="360" w:lineRule="auto"/>
        <w:ind w:firstLineChars="0"/>
      </w:pPr>
      <w:r>
        <w:rPr>
          <w:rFonts w:hint="eastAsia"/>
        </w:rPr>
        <w:t xml:space="preserve"> </w:t>
      </w:r>
      <w:bookmarkStart w:id="54" w:name="_Ref96715752"/>
      <w:r>
        <w:t>L. Wang, X. Liu, and X. Li. VR collaborative object manipulation based on viewpoint quality. In 2021 IEEE International Symposium on Mixed and Augmented Reality (ISMAR), pp. 60–68, 2021.</w:t>
      </w:r>
      <w:bookmarkEnd w:id="54"/>
    </w:p>
    <w:p>
      <w:pPr>
        <w:pStyle w:val="34"/>
        <w:numPr>
          <w:ilvl w:val="0"/>
          <w:numId w:val="4"/>
        </w:numPr>
        <w:spacing w:line="360" w:lineRule="auto"/>
        <w:rPr>
          <w:rFonts w:ascii="Times New Roman" w:hAnsi="Times New Roman" w:cs="Times New Roman"/>
        </w:rPr>
      </w:pPr>
      <w:bookmarkStart w:id="55" w:name="_Ref96431335"/>
      <w:r>
        <w:rPr>
          <w:rFonts w:ascii="Times New Roman" w:hAnsi="Times New Roman" w:cs="Times New Roman"/>
          <w:color w:val="212121"/>
        </w:rPr>
        <w:t xml:space="preserve"> AGUERRECHE L , DUVAL T , A LÉCUYER. Reconfigurable Tangible Devices for 3D Virtual Object Manipulation by Single or Multiple Users[A]. </w:t>
      </w:r>
      <w:r>
        <w:rPr>
          <w:rFonts w:ascii="Times New Roman" w:hAnsi="Times New Roman" w:cs="Times New Roman"/>
        </w:rPr>
        <w:t>Proceedings of the 17th ACM Symposium on Virtual Reality Software and Technology[C]. ACM, 2010:227-230.</w:t>
      </w:r>
      <w:bookmarkEnd w:id="55"/>
      <w:r>
        <w:rPr>
          <w:rFonts w:ascii="Times New Roman" w:hAnsi="Times New Roman" w:cs="Times New Roman"/>
        </w:rPr>
        <w:t xml:space="preserve"> </w:t>
      </w:r>
    </w:p>
    <w:p>
      <w:pPr>
        <w:pStyle w:val="34"/>
        <w:numPr>
          <w:ilvl w:val="0"/>
          <w:numId w:val="4"/>
        </w:numPr>
        <w:spacing w:line="360" w:lineRule="auto"/>
        <w:rPr>
          <w:rFonts w:ascii="Times New Roman" w:hAnsi="Times New Roman" w:cs="Times New Roman"/>
        </w:rPr>
      </w:pPr>
      <w:r>
        <w:rPr>
          <w:rFonts w:ascii="Times New Roman" w:hAnsi="Times New Roman" w:cs="Times New Roman"/>
        </w:rPr>
        <w:t xml:space="preserve"> </w:t>
      </w:r>
      <w:bookmarkStart w:id="56" w:name="_Ref96431455"/>
      <w:r>
        <w:rPr>
          <w:rFonts w:ascii="Times New Roman" w:hAnsi="Times New Roman" w:cs="Times New Roman"/>
        </w:rPr>
        <w:t>PINHO M S, DA BOWMAN, FREITAS C. Cooperative object manipulation in collaborative virtual environments[J]. Journal of the Brazilian Computer Society, 2008, 14(2):53-67.</w:t>
      </w:r>
      <w:bookmarkEnd w:id="56"/>
      <w:r>
        <w:rPr>
          <w:rFonts w:ascii="Times New Roman" w:hAnsi="Times New Roman" w:cs="Times New Roman"/>
        </w:rPr>
        <w:t xml:space="preserve"> </w:t>
      </w:r>
    </w:p>
    <w:p>
      <w:pPr>
        <w:pStyle w:val="34"/>
        <w:numPr>
          <w:ilvl w:val="0"/>
          <w:numId w:val="4"/>
        </w:numPr>
        <w:spacing w:line="360" w:lineRule="auto"/>
        <w:rPr>
          <w:rFonts w:ascii="Times New Roman" w:hAnsi="Times New Roman" w:cs="Times New Roman"/>
        </w:rPr>
      </w:pPr>
      <w:bookmarkStart w:id="57" w:name="_Ref96436848"/>
      <w:r>
        <w:rPr>
          <w:rFonts w:ascii="Times New Roman" w:hAnsi="Times New Roman" w:cs="Times New Roman"/>
        </w:rPr>
        <w:t xml:space="preserve"> RUDDLE R, SAVAGE J. Symmetric and asymetric action integration during cooperative object manipulation in virtual environments[J]. ACM Transactions on Computer-Human Interaction, 2002, 9(4): 285–308.</w:t>
      </w:r>
      <w:bookmarkEnd w:id="57"/>
      <w:r>
        <w:rPr>
          <w:rFonts w:ascii="Times New Roman" w:hAnsi="Times New Roman" w:cs="Times New Roman"/>
        </w:rPr>
        <w:t xml:space="preserve"> </w:t>
      </w:r>
    </w:p>
    <w:p>
      <w:pPr>
        <w:pStyle w:val="34"/>
        <w:numPr>
          <w:ilvl w:val="0"/>
          <w:numId w:val="4"/>
        </w:numPr>
        <w:spacing w:line="360" w:lineRule="auto"/>
        <w:rPr>
          <w:rFonts w:ascii="Times New Roman" w:hAnsi="Times New Roman" w:cs="Times New Roman"/>
        </w:rPr>
      </w:pPr>
      <w:bookmarkStart w:id="58" w:name="_Ref96436931"/>
      <w:r>
        <w:rPr>
          <w:rFonts w:ascii="Times New Roman" w:hAnsi="Times New Roman" w:cs="Times New Roman"/>
          <w:color w:val="212121"/>
        </w:rPr>
        <w:t xml:space="preserve"> DUVAL T, LECUYER A, THOMAS S. SKEWER: a 3D Interaction Technique for 2-User Collaborative Manipulation of Objects in Virtual Environments[A]. IEEE Symposium on 3d User Interfaces[C]. IEEE, 2006: 69-72.</w:t>
      </w:r>
      <w:bookmarkEnd w:id="58"/>
      <w:r>
        <w:rPr>
          <w:rFonts w:ascii="Times New Roman" w:hAnsi="Times New Roman" w:cs="Times New Roman"/>
          <w:color w:val="212121"/>
        </w:rPr>
        <w:t xml:space="preserve"> </w:t>
      </w:r>
    </w:p>
    <w:p>
      <w:pPr>
        <w:pStyle w:val="34"/>
        <w:numPr>
          <w:ilvl w:val="0"/>
          <w:numId w:val="4"/>
        </w:numPr>
        <w:spacing w:line="360" w:lineRule="auto"/>
        <w:rPr>
          <w:rFonts w:ascii="Times New Roman" w:hAnsi="Times New Roman" w:cs="Times New Roman"/>
        </w:rPr>
      </w:pPr>
      <w:bookmarkStart w:id="59" w:name="_Ref96436981"/>
      <w:r>
        <w:rPr>
          <w:rFonts w:ascii="Times New Roman" w:hAnsi="Times New Roman" w:cs="Times New Roman"/>
        </w:rPr>
        <w:t xml:space="preserve"> </w:t>
      </w:r>
      <w:r>
        <w:rPr>
          <w:rFonts w:ascii="Times New Roman" w:hAnsi="Times New Roman" w:cs="Times New Roman"/>
          <w:color w:val="auto"/>
          <w:kern w:val="2"/>
        </w:rPr>
        <w:t>KAI R, HOLTKAMPER T, WESCHE G, et al. The Bent Pick Ray: An Extended Pointing Technique for Multi-User Interaction[A]. 3D User Interfaces[C]. IEEE, 2006: 62-65.</w:t>
      </w:r>
      <w:bookmarkEnd w:id="59"/>
      <w:r>
        <w:rPr>
          <w:rFonts w:ascii="Times New Roman" w:hAnsi="Times New Roman" w:cs="Times New Roman"/>
          <w:color w:val="auto"/>
          <w:kern w:val="2"/>
        </w:rPr>
        <w:t xml:space="preserve"> </w:t>
      </w:r>
    </w:p>
    <w:p>
      <w:pPr>
        <w:pStyle w:val="34"/>
        <w:numPr>
          <w:ilvl w:val="0"/>
          <w:numId w:val="4"/>
        </w:numPr>
        <w:spacing w:line="360" w:lineRule="auto"/>
        <w:rPr>
          <w:rFonts w:ascii="Times New Roman" w:hAnsi="Times New Roman" w:cs="Times New Roman"/>
        </w:rPr>
      </w:pPr>
      <w:r>
        <w:rPr>
          <w:rFonts w:ascii="Times New Roman" w:hAnsi="Times New Roman" w:cs="Times New Roman"/>
        </w:rPr>
        <w:t xml:space="preserve"> </w:t>
      </w:r>
      <w:bookmarkStart w:id="60" w:name="_Ref96437128"/>
      <w:r>
        <w:rPr>
          <w:rFonts w:ascii="Times New Roman" w:hAnsi="Times New Roman" w:cs="Times New Roman"/>
        </w:rPr>
        <w:t>PINHO M S, BOWMAN D A, FREITAS C. Cooperative Object Manipulation in Immersive Virtual Environments[A]. Proceedings of the ACM symposium on Virtual reality software and technology[C]. ACM, 2002: 171-178.</w:t>
      </w:r>
      <w:bookmarkEnd w:id="60"/>
      <w:r>
        <w:rPr>
          <w:rFonts w:ascii="Times New Roman" w:hAnsi="Times New Roman" w:cs="Times New Roman"/>
        </w:rPr>
        <w:t xml:space="preserve"> </w:t>
      </w:r>
    </w:p>
    <w:p>
      <w:pPr>
        <w:pStyle w:val="34"/>
        <w:numPr>
          <w:ilvl w:val="0"/>
          <w:numId w:val="4"/>
        </w:numPr>
        <w:spacing w:line="360" w:lineRule="auto"/>
        <w:rPr>
          <w:rFonts w:ascii="Times New Roman" w:hAnsi="Times New Roman" w:cs="Times New Roman"/>
        </w:rPr>
      </w:pPr>
      <w:r>
        <w:rPr>
          <w:rFonts w:ascii="Times New Roman" w:hAnsi="Times New Roman" w:cs="Times New Roman"/>
        </w:rPr>
        <w:t xml:space="preserve"> </w:t>
      </w:r>
      <w:bookmarkStart w:id="61" w:name="_Ref96437172"/>
      <w:r>
        <w:rPr>
          <w:rFonts w:ascii="Times New Roman" w:hAnsi="Times New Roman" w:cs="Times New Roman"/>
        </w:rPr>
        <w:t>SOARES L P, KOPPER R, PINHO M S. EGO-EXO: A Cooperative Manipulation Technique with Automatic Viewpoint Control[A]. 2018 20th Symposium on Virtual and Augmented Reality (SVR)[C]. IEEE, 2018: 82-88.</w:t>
      </w:r>
      <w:bookmarkEnd w:id="61"/>
      <w:r>
        <w:rPr>
          <w:rFonts w:ascii="Times New Roman" w:hAnsi="Times New Roman" w:cs="Times New Roman"/>
        </w:rPr>
        <w:t xml:space="preserve"> </w:t>
      </w:r>
    </w:p>
    <w:p>
      <w:pPr>
        <w:pStyle w:val="34"/>
        <w:numPr>
          <w:ilvl w:val="0"/>
          <w:numId w:val="4"/>
        </w:numPr>
        <w:spacing w:line="360" w:lineRule="auto"/>
        <w:rPr>
          <w:rFonts w:ascii="Times New Roman" w:hAnsi="Times New Roman" w:cs="Times New Roman"/>
        </w:rPr>
      </w:pPr>
      <w:r>
        <w:rPr>
          <w:rFonts w:ascii="Times New Roman" w:hAnsi="Times New Roman" w:cs="Times New Roman"/>
          <w:color w:val="212121"/>
        </w:rPr>
        <w:t xml:space="preserve"> </w:t>
      </w:r>
      <w:bookmarkStart w:id="62" w:name="_Ref96437208"/>
      <w:r>
        <w:rPr>
          <w:rFonts w:ascii="Times New Roman" w:hAnsi="Times New Roman" w:cs="Times New Roman"/>
          <w:color w:val="212121"/>
        </w:rPr>
        <w:t>CHENECHAL M L, LACOCHE J, ROYAN J, et al. When the Giant meets the Ant An Asymmetric Approach for Collaborative and Concurrent Object Manipulation in a Multi-Scale Environment[A]. IEEE Third Vr International Workshop on Collaborative Virtual Environments[C]. IEEE, 2016:18-22</w:t>
      </w:r>
      <w:r>
        <w:rPr>
          <w:rFonts w:ascii="Times New Roman" w:hAnsi="Times New Roman" w:cs="Times New Roman"/>
        </w:rPr>
        <w:t>.</w:t>
      </w:r>
      <w:bookmarkEnd w:id="62"/>
      <w:r>
        <w:rPr>
          <w:rFonts w:ascii="Times New Roman" w:hAnsi="Times New Roman" w:cs="Times New Roman"/>
        </w:rPr>
        <w:t xml:space="preserve"> </w:t>
      </w:r>
    </w:p>
    <w:p>
      <w:pPr>
        <w:pStyle w:val="34"/>
        <w:numPr>
          <w:ilvl w:val="0"/>
          <w:numId w:val="4"/>
        </w:numPr>
        <w:spacing w:line="360" w:lineRule="auto"/>
        <w:rPr>
          <w:rFonts w:ascii="Times New Roman" w:hAnsi="Times New Roman" w:cs="Times New Roman"/>
        </w:rPr>
      </w:pPr>
      <w:r>
        <w:rPr>
          <w:rFonts w:ascii="Times New Roman" w:hAnsi="Times New Roman" w:cs="Times New Roman"/>
        </w:rPr>
        <w:t xml:space="preserve"> </w:t>
      </w:r>
      <w:bookmarkStart w:id="63" w:name="_Ref96437275"/>
      <w:r>
        <w:rPr>
          <w:rFonts w:ascii="Times New Roman" w:hAnsi="Times New Roman" w:cs="Times New Roman"/>
        </w:rPr>
        <w:t>GRANDI J G, DEBARBA H G, MACIEL A. Characterizing Asymmetric Collaborative Interactions in Virtual and Augmented Realities[A]. IEEE Conference on Virtual Reality and 3D User Interfaces[C]. IEEE, 2019: 127-135.</w:t>
      </w:r>
      <w:bookmarkEnd w:id="63"/>
      <w:r>
        <w:rPr>
          <w:rFonts w:ascii="Times New Roman" w:hAnsi="Times New Roman" w:cs="Times New Roman"/>
        </w:rPr>
        <w:t xml:space="preserve"> </w:t>
      </w:r>
      <w:bookmarkStart w:id="64" w:name="_Ref96437405"/>
    </w:p>
    <w:p>
      <w:pPr>
        <w:pStyle w:val="34"/>
        <w:numPr>
          <w:ilvl w:val="0"/>
          <w:numId w:val="4"/>
        </w:numPr>
        <w:spacing w:line="360" w:lineRule="auto"/>
        <w:rPr>
          <w:rFonts w:ascii="Times New Roman" w:hAnsi="Times New Roman" w:cs="Times New Roman"/>
          <w:color w:val="212121"/>
        </w:rPr>
      </w:pPr>
      <w:r>
        <w:rPr>
          <w:rFonts w:ascii="Times New Roman" w:hAnsi="Times New Roman" w:cs="Times New Roman"/>
          <w:color w:val="212121"/>
        </w:rPr>
        <w:t xml:space="preserve"> </w:t>
      </w:r>
      <w:bookmarkStart w:id="65" w:name="_Ref97078294"/>
      <w:r>
        <w:rPr>
          <w:rFonts w:ascii="Times New Roman" w:hAnsi="Times New Roman" w:cs="Times New Roman"/>
          <w:color w:val="212121"/>
        </w:rPr>
        <w:t>Lili Wang, Xiaolong Liu, Xiangyu Li. VR Collaborative Object Manipulation Based on Viewpoint Quality[C]</w:t>
      </w:r>
      <w:r>
        <w:rPr>
          <w:rFonts w:hint="eastAsia" w:ascii="Times New Roman" w:hAnsi="Times New Roman" w:cs="Times New Roman"/>
          <w:color w:val="212121"/>
        </w:rPr>
        <w:t>.</w:t>
      </w:r>
      <w:r>
        <w:rPr>
          <w:rFonts w:ascii="Times New Roman" w:hAnsi="Times New Roman" w:cs="Times New Roman"/>
          <w:color w:val="212121"/>
        </w:rPr>
        <w:t xml:space="preserve"> the IEEE International Symposium on Mixed and Augmented Reality.2021.1</w:t>
      </w:r>
      <w:r>
        <w:rPr>
          <w:rFonts w:hint="eastAsia" w:ascii="Times New Roman" w:hAnsi="Times New Roman" w:cs="Times New Roman"/>
          <w:color w:val="212121"/>
        </w:rPr>
        <w:t>0</w:t>
      </w:r>
      <w:r>
        <w:rPr>
          <w:rFonts w:ascii="Times New Roman" w:hAnsi="Times New Roman" w:cs="Times New Roman"/>
          <w:color w:val="212121"/>
        </w:rPr>
        <w:t>.</w:t>
      </w:r>
      <w:bookmarkEnd w:id="65"/>
    </w:p>
    <w:p>
      <w:pPr>
        <w:pStyle w:val="34"/>
        <w:numPr>
          <w:ilvl w:val="0"/>
          <w:numId w:val="4"/>
        </w:numPr>
        <w:spacing w:line="360" w:lineRule="auto"/>
        <w:rPr>
          <w:rFonts w:ascii="Times New Roman" w:hAnsi="Times New Roman" w:cs="Times New Roman"/>
        </w:rPr>
      </w:pPr>
      <w:r>
        <w:rPr>
          <w:rFonts w:ascii="Times New Roman" w:hAnsi="Times New Roman" w:cs="Times New Roman"/>
        </w:rPr>
        <w:t xml:space="preserve"> LAGES W. Ray, camera, action! A technique for collaborative 3D manipulation[A]. 3d User Interfaces[C]. IEEE, 2016: 281-282.</w:t>
      </w:r>
      <w:bookmarkEnd w:id="64"/>
    </w:p>
    <w:p>
      <w:pPr>
        <w:spacing w:line="360" w:lineRule="auto"/>
        <w:rPr>
          <w:kern w:val="0"/>
          <w:sz w:val="24"/>
          <w:szCs w:val="24"/>
        </w:rPr>
      </w:pPr>
    </w:p>
    <w:sectPr>
      <w:headerReference r:id="rId7" w:type="default"/>
      <w:footerReference r:id="rId8" w:type="default"/>
      <w:pgSz w:w="11906" w:h="16838"/>
      <w:pgMar w:top="1418"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single" w:color="auto" w:sz="4" w:space="1"/>
      </w:pBdr>
      <w:spacing w:line="320" w:lineRule="exact"/>
      <w:ind w:firstLine="90" w:firstLineChars="50"/>
    </w:pPr>
    <w:r>
      <w:rPr>
        <w:rFonts w:hint="eastAsia" w:ascii="楷体_GB2312" w:eastAsia="楷体_GB2312"/>
      </w:rPr>
      <w:t>北京航空航天大学计算机学院</w:t>
    </w:r>
    <w:r>
      <w:rPr>
        <w:rStyle w:val="20"/>
        <w:rFonts w:hint="eastAsia" w:ascii="宋体"/>
      </w:rPr>
      <w:t xml:space="preserve">                                                          · </w:t>
    </w:r>
    <w:r>
      <w:rPr>
        <w:rStyle w:val="20"/>
      </w:rPr>
      <w:fldChar w:fldCharType="begin"/>
    </w:r>
    <w:r>
      <w:rPr>
        <w:rStyle w:val="20"/>
      </w:rPr>
      <w:instrText xml:space="preserve"> PAGE </w:instrText>
    </w:r>
    <w:r>
      <w:rPr>
        <w:rStyle w:val="20"/>
      </w:rPr>
      <w:fldChar w:fldCharType="separate"/>
    </w:r>
    <w:r>
      <w:rPr>
        <w:rStyle w:val="20"/>
      </w:rPr>
      <w:t>4</w:t>
    </w:r>
    <w:r>
      <w:rPr>
        <w:rStyle w:val="20"/>
      </w:rPr>
      <w:fldChar w:fldCharType="end"/>
    </w:r>
    <w:r>
      <w:rPr>
        <w:rStyle w:val="20"/>
        <w:rFonts w:hint="eastAsia"/>
      </w:rPr>
      <w:t xml:space="preserve"> </w:t>
    </w:r>
    <w:r>
      <w:rPr>
        <w:rStyle w:val="20"/>
        <w:rFonts w:hint="eastAsia" w:ascii="宋体"/>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single" w:color="auto" w:sz="4" w:space="1"/>
      </w:pBdr>
      <w:spacing w:line="320" w:lineRule="exact"/>
      <w:ind w:firstLine="90" w:firstLineChars="50"/>
    </w:pPr>
    <w:r>
      <w:rPr>
        <w:rFonts w:hint="eastAsia" w:ascii="楷体_GB2312" w:eastAsia="楷体_GB2312"/>
      </w:rPr>
      <w:t>北京航空航天大学计算机学院</w:t>
    </w:r>
    <w:r>
      <w:rPr>
        <w:rStyle w:val="20"/>
        <w:rFonts w:hint="eastAsia" w:ascii="宋体"/>
      </w:rPr>
      <w:t xml:space="preserve">                                                          · </w:t>
    </w:r>
    <w:r>
      <w:rPr>
        <w:rStyle w:val="20"/>
      </w:rPr>
      <w:fldChar w:fldCharType="begin"/>
    </w:r>
    <w:r>
      <w:rPr>
        <w:rStyle w:val="20"/>
      </w:rPr>
      <w:instrText xml:space="preserve"> PAGE </w:instrText>
    </w:r>
    <w:r>
      <w:rPr>
        <w:rStyle w:val="20"/>
      </w:rPr>
      <w:fldChar w:fldCharType="separate"/>
    </w:r>
    <w:r>
      <w:rPr>
        <w:rStyle w:val="20"/>
      </w:rPr>
      <w:t>11</w:t>
    </w:r>
    <w:r>
      <w:rPr>
        <w:rStyle w:val="20"/>
      </w:rPr>
      <w:fldChar w:fldCharType="end"/>
    </w:r>
    <w:r>
      <w:rPr>
        <w:rStyle w:val="20"/>
        <w:rFonts w:hint="eastAsia"/>
      </w:rPr>
      <w:t xml:space="preserve"> </w:t>
    </w:r>
    <w:r>
      <w:rPr>
        <w:rStyle w:val="20"/>
        <w:rFonts w:hint="eastAsia" w:ascii="宋体"/>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楷体_GB2312" w:eastAsia="楷体_GB2312"/>
      </w:rPr>
    </w:pPr>
    <w:r>
      <w:rPr>
        <w:rFonts w:hint="eastAsia" w:ascii="楷体_GB2312" w:eastAsia="楷体_GB2312"/>
      </w:rPr>
      <w:t>硕士学位论文开题报告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vanis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8661B8"/>
    <w:multiLevelType w:val="multilevel"/>
    <w:tmpl w:val="128661B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ADB3DD4"/>
    <w:multiLevelType w:val="multilevel"/>
    <w:tmpl w:val="2ADB3D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65E6690"/>
    <w:multiLevelType w:val="multilevel"/>
    <w:tmpl w:val="365E6690"/>
    <w:lvl w:ilvl="0" w:tentative="0">
      <w:start w:val="1"/>
      <w:numFmt w:val="decimal"/>
      <w:lvlText w:val="%1."/>
      <w:lvlJc w:val="left"/>
      <w:pPr>
        <w:tabs>
          <w:tab w:val="left" w:pos="-420"/>
        </w:tabs>
        <w:ind w:left="360" w:hanging="360"/>
      </w:pPr>
      <w:rPr>
        <w:rFonts w:ascii="Times New Roman" w:hAnsi="Times New Roman" w:eastAsia="宋体" w:cs="Times New Roman"/>
      </w:rPr>
    </w:lvl>
    <w:lvl w:ilvl="1" w:tentative="0">
      <w:start w:val="1"/>
      <w:numFmt w:val="lowerLetter"/>
      <w:lvlText w:val="%2)"/>
      <w:lvlJc w:val="left"/>
      <w:pPr>
        <w:tabs>
          <w:tab w:val="left" w:pos="-420"/>
        </w:tabs>
        <w:ind w:left="840" w:hanging="420"/>
      </w:pPr>
    </w:lvl>
    <w:lvl w:ilvl="2" w:tentative="0">
      <w:start w:val="1"/>
      <w:numFmt w:val="lowerRoman"/>
      <w:lvlText w:val="%3."/>
      <w:lvlJc w:val="right"/>
      <w:pPr>
        <w:tabs>
          <w:tab w:val="left" w:pos="-420"/>
        </w:tabs>
        <w:ind w:left="1260" w:hanging="420"/>
      </w:pPr>
    </w:lvl>
    <w:lvl w:ilvl="3" w:tentative="0">
      <w:start w:val="1"/>
      <w:numFmt w:val="decimal"/>
      <w:lvlText w:val="%4."/>
      <w:lvlJc w:val="left"/>
      <w:pPr>
        <w:tabs>
          <w:tab w:val="left" w:pos="-420"/>
        </w:tabs>
        <w:ind w:left="1680" w:hanging="420"/>
      </w:pPr>
    </w:lvl>
    <w:lvl w:ilvl="4" w:tentative="0">
      <w:start w:val="1"/>
      <w:numFmt w:val="lowerLetter"/>
      <w:lvlText w:val="%5)"/>
      <w:lvlJc w:val="left"/>
      <w:pPr>
        <w:tabs>
          <w:tab w:val="left" w:pos="-420"/>
        </w:tabs>
        <w:ind w:left="2100" w:hanging="420"/>
      </w:pPr>
    </w:lvl>
    <w:lvl w:ilvl="5" w:tentative="0">
      <w:start w:val="1"/>
      <w:numFmt w:val="lowerRoman"/>
      <w:lvlText w:val="%6."/>
      <w:lvlJc w:val="right"/>
      <w:pPr>
        <w:tabs>
          <w:tab w:val="left" w:pos="-420"/>
        </w:tabs>
        <w:ind w:left="2520" w:hanging="420"/>
      </w:pPr>
    </w:lvl>
    <w:lvl w:ilvl="6" w:tentative="0">
      <w:start w:val="1"/>
      <w:numFmt w:val="decimal"/>
      <w:lvlText w:val="%7."/>
      <w:lvlJc w:val="left"/>
      <w:pPr>
        <w:tabs>
          <w:tab w:val="left" w:pos="-420"/>
        </w:tabs>
        <w:ind w:left="2940" w:hanging="420"/>
      </w:pPr>
    </w:lvl>
    <w:lvl w:ilvl="7" w:tentative="0">
      <w:start w:val="1"/>
      <w:numFmt w:val="lowerLetter"/>
      <w:lvlText w:val="%8)"/>
      <w:lvlJc w:val="left"/>
      <w:pPr>
        <w:tabs>
          <w:tab w:val="left" w:pos="-420"/>
        </w:tabs>
        <w:ind w:left="3360" w:hanging="420"/>
      </w:pPr>
    </w:lvl>
    <w:lvl w:ilvl="8" w:tentative="0">
      <w:start w:val="1"/>
      <w:numFmt w:val="lowerRoman"/>
      <w:lvlText w:val="%9."/>
      <w:lvlJc w:val="right"/>
      <w:pPr>
        <w:tabs>
          <w:tab w:val="left" w:pos="-420"/>
        </w:tabs>
        <w:ind w:left="3780" w:hanging="420"/>
      </w:pPr>
    </w:lvl>
  </w:abstractNum>
  <w:abstractNum w:abstractNumId="3">
    <w:nsid w:val="74B519B8"/>
    <w:multiLevelType w:val="multilevel"/>
    <w:tmpl w:val="74B519B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F86"/>
    <w:rsid w:val="0000025D"/>
    <w:rsid w:val="000033A1"/>
    <w:rsid w:val="0000398D"/>
    <w:rsid w:val="00020466"/>
    <w:rsid w:val="00023996"/>
    <w:rsid w:val="000549EA"/>
    <w:rsid w:val="00063564"/>
    <w:rsid w:val="00073834"/>
    <w:rsid w:val="00076A63"/>
    <w:rsid w:val="00085367"/>
    <w:rsid w:val="000A03D9"/>
    <w:rsid w:val="000A3775"/>
    <w:rsid w:val="000B6C7D"/>
    <w:rsid w:val="000B6CE0"/>
    <w:rsid w:val="000C64D3"/>
    <w:rsid w:val="000D315B"/>
    <w:rsid w:val="000F2503"/>
    <w:rsid w:val="00112784"/>
    <w:rsid w:val="00135145"/>
    <w:rsid w:val="00137A02"/>
    <w:rsid w:val="0014045F"/>
    <w:rsid w:val="001526F9"/>
    <w:rsid w:val="001630E8"/>
    <w:rsid w:val="001672FB"/>
    <w:rsid w:val="001801E0"/>
    <w:rsid w:val="0018455C"/>
    <w:rsid w:val="00187743"/>
    <w:rsid w:val="00192560"/>
    <w:rsid w:val="00197DBC"/>
    <w:rsid w:val="001B57C1"/>
    <w:rsid w:val="001B61C0"/>
    <w:rsid w:val="001C3C33"/>
    <w:rsid w:val="001C5B30"/>
    <w:rsid w:val="001E4996"/>
    <w:rsid w:val="002043F5"/>
    <w:rsid w:val="002104BB"/>
    <w:rsid w:val="0024742F"/>
    <w:rsid w:val="00251CD3"/>
    <w:rsid w:val="002520E4"/>
    <w:rsid w:val="002603D1"/>
    <w:rsid w:val="00262D57"/>
    <w:rsid w:val="0026390B"/>
    <w:rsid w:val="00263C97"/>
    <w:rsid w:val="002A241B"/>
    <w:rsid w:val="002A53FF"/>
    <w:rsid w:val="002A5422"/>
    <w:rsid w:val="002B1122"/>
    <w:rsid w:val="002B59DF"/>
    <w:rsid w:val="002B60F0"/>
    <w:rsid w:val="002C7692"/>
    <w:rsid w:val="002D1C09"/>
    <w:rsid w:val="002F42F3"/>
    <w:rsid w:val="00304034"/>
    <w:rsid w:val="00304486"/>
    <w:rsid w:val="00305D91"/>
    <w:rsid w:val="0031029B"/>
    <w:rsid w:val="00321B90"/>
    <w:rsid w:val="00340785"/>
    <w:rsid w:val="0035322C"/>
    <w:rsid w:val="00357908"/>
    <w:rsid w:val="00363273"/>
    <w:rsid w:val="00373A4C"/>
    <w:rsid w:val="003770BD"/>
    <w:rsid w:val="00382A32"/>
    <w:rsid w:val="00392C6F"/>
    <w:rsid w:val="00394D3E"/>
    <w:rsid w:val="003B3351"/>
    <w:rsid w:val="003D383F"/>
    <w:rsid w:val="003F61A5"/>
    <w:rsid w:val="003F6575"/>
    <w:rsid w:val="0040336B"/>
    <w:rsid w:val="00405323"/>
    <w:rsid w:val="00417AFD"/>
    <w:rsid w:val="004374F9"/>
    <w:rsid w:val="00446496"/>
    <w:rsid w:val="0046198A"/>
    <w:rsid w:val="00477143"/>
    <w:rsid w:val="00494B4D"/>
    <w:rsid w:val="004A3060"/>
    <w:rsid w:val="004A4023"/>
    <w:rsid w:val="004A51C9"/>
    <w:rsid w:val="004A6044"/>
    <w:rsid w:val="004C4318"/>
    <w:rsid w:val="004F51F9"/>
    <w:rsid w:val="00501E17"/>
    <w:rsid w:val="0053216C"/>
    <w:rsid w:val="00542832"/>
    <w:rsid w:val="00545E1D"/>
    <w:rsid w:val="005625E5"/>
    <w:rsid w:val="00572493"/>
    <w:rsid w:val="00575711"/>
    <w:rsid w:val="005A5B2B"/>
    <w:rsid w:val="005E7C44"/>
    <w:rsid w:val="00623912"/>
    <w:rsid w:val="006300D3"/>
    <w:rsid w:val="006357FE"/>
    <w:rsid w:val="0064346E"/>
    <w:rsid w:val="006437FC"/>
    <w:rsid w:val="0064770D"/>
    <w:rsid w:val="00662DCC"/>
    <w:rsid w:val="00685FEE"/>
    <w:rsid w:val="006A2382"/>
    <w:rsid w:val="006A60FA"/>
    <w:rsid w:val="006A6A37"/>
    <w:rsid w:val="006B3C71"/>
    <w:rsid w:val="006D1FB4"/>
    <w:rsid w:val="006D5D11"/>
    <w:rsid w:val="006D7D44"/>
    <w:rsid w:val="006E139E"/>
    <w:rsid w:val="006E28BF"/>
    <w:rsid w:val="007049C8"/>
    <w:rsid w:val="007054CF"/>
    <w:rsid w:val="00710FF3"/>
    <w:rsid w:val="0071758B"/>
    <w:rsid w:val="00723020"/>
    <w:rsid w:val="00730DF9"/>
    <w:rsid w:val="00732DB1"/>
    <w:rsid w:val="007337D6"/>
    <w:rsid w:val="007425A5"/>
    <w:rsid w:val="00745572"/>
    <w:rsid w:val="00747BD3"/>
    <w:rsid w:val="007631DF"/>
    <w:rsid w:val="007662CF"/>
    <w:rsid w:val="007725F6"/>
    <w:rsid w:val="00783500"/>
    <w:rsid w:val="00786FB6"/>
    <w:rsid w:val="00796B7A"/>
    <w:rsid w:val="007A7F1D"/>
    <w:rsid w:val="007B137B"/>
    <w:rsid w:val="007B1560"/>
    <w:rsid w:val="007B1772"/>
    <w:rsid w:val="007D5A42"/>
    <w:rsid w:val="007D69B6"/>
    <w:rsid w:val="007D737D"/>
    <w:rsid w:val="007E27FF"/>
    <w:rsid w:val="007E53BB"/>
    <w:rsid w:val="00803FDB"/>
    <w:rsid w:val="00804DDB"/>
    <w:rsid w:val="00815816"/>
    <w:rsid w:val="00816EEA"/>
    <w:rsid w:val="00833554"/>
    <w:rsid w:val="008376EF"/>
    <w:rsid w:val="00844C05"/>
    <w:rsid w:val="008465FA"/>
    <w:rsid w:val="00880CA5"/>
    <w:rsid w:val="008A07E8"/>
    <w:rsid w:val="008C26A5"/>
    <w:rsid w:val="008C3911"/>
    <w:rsid w:val="008D06F4"/>
    <w:rsid w:val="008D0D77"/>
    <w:rsid w:val="008E592B"/>
    <w:rsid w:val="00903758"/>
    <w:rsid w:val="0090483C"/>
    <w:rsid w:val="009110B1"/>
    <w:rsid w:val="0091667C"/>
    <w:rsid w:val="00917509"/>
    <w:rsid w:val="00925B1B"/>
    <w:rsid w:val="00927A95"/>
    <w:rsid w:val="00927E1A"/>
    <w:rsid w:val="0095356C"/>
    <w:rsid w:val="0095458F"/>
    <w:rsid w:val="009630E5"/>
    <w:rsid w:val="009704DB"/>
    <w:rsid w:val="0097467F"/>
    <w:rsid w:val="00977F80"/>
    <w:rsid w:val="009B6777"/>
    <w:rsid w:val="009B7524"/>
    <w:rsid w:val="009C0E0D"/>
    <w:rsid w:val="009C2938"/>
    <w:rsid w:val="009C7CD5"/>
    <w:rsid w:val="009E15A7"/>
    <w:rsid w:val="009E2044"/>
    <w:rsid w:val="009E5AD5"/>
    <w:rsid w:val="009F29B5"/>
    <w:rsid w:val="00A03AC4"/>
    <w:rsid w:val="00A0554F"/>
    <w:rsid w:val="00A11693"/>
    <w:rsid w:val="00A13177"/>
    <w:rsid w:val="00A16BFB"/>
    <w:rsid w:val="00A17E70"/>
    <w:rsid w:val="00A21A82"/>
    <w:rsid w:val="00A22633"/>
    <w:rsid w:val="00A31AB3"/>
    <w:rsid w:val="00A47111"/>
    <w:rsid w:val="00A47F70"/>
    <w:rsid w:val="00A510E3"/>
    <w:rsid w:val="00A569EB"/>
    <w:rsid w:val="00A61230"/>
    <w:rsid w:val="00A70C78"/>
    <w:rsid w:val="00AA0F8F"/>
    <w:rsid w:val="00AA3BC9"/>
    <w:rsid w:val="00AD2829"/>
    <w:rsid w:val="00AE496E"/>
    <w:rsid w:val="00AE63F7"/>
    <w:rsid w:val="00AE6A80"/>
    <w:rsid w:val="00B06202"/>
    <w:rsid w:val="00B0776F"/>
    <w:rsid w:val="00B1104A"/>
    <w:rsid w:val="00B16C56"/>
    <w:rsid w:val="00B20E94"/>
    <w:rsid w:val="00B31542"/>
    <w:rsid w:val="00B35D46"/>
    <w:rsid w:val="00B36C41"/>
    <w:rsid w:val="00B56918"/>
    <w:rsid w:val="00B57BB8"/>
    <w:rsid w:val="00B71D15"/>
    <w:rsid w:val="00B83EA7"/>
    <w:rsid w:val="00B843F1"/>
    <w:rsid w:val="00B84D83"/>
    <w:rsid w:val="00B84F47"/>
    <w:rsid w:val="00B87405"/>
    <w:rsid w:val="00BC22B7"/>
    <w:rsid w:val="00BC5A6E"/>
    <w:rsid w:val="00BE168F"/>
    <w:rsid w:val="00BE2C79"/>
    <w:rsid w:val="00BE4ED5"/>
    <w:rsid w:val="00C0194F"/>
    <w:rsid w:val="00C118E7"/>
    <w:rsid w:val="00C20608"/>
    <w:rsid w:val="00C27F70"/>
    <w:rsid w:val="00C400DE"/>
    <w:rsid w:val="00C42C22"/>
    <w:rsid w:val="00C44251"/>
    <w:rsid w:val="00C461F3"/>
    <w:rsid w:val="00C632E0"/>
    <w:rsid w:val="00C65379"/>
    <w:rsid w:val="00C97DFC"/>
    <w:rsid w:val="00CA2EEC"/>
    <w:rsid w:val="00CB1334"/>
    <w:rsid w:val="00CB1CCB"/>
    <w:rsid w:val="00CC1667"/>
    <w:rsid w:val="00CC69BC"/>
    <w:rsid w:val="00CC6C3C"/>
    <w:rsid w:val="00D07C84"/>
    <w:rsid w:val="00D10028"/>
    <w:rsid w:val="00D122FD"/>
    <w:rsid w:val="00D33507"/>
    <w:rsid w:val="00D34F86"/>
    <w:rsid w:val="00D41D7A"/>
    <w:rsid w:val="00D454AE"/>
    <w:rsid w:val="00D57DE6"/>
    <w:rsid w:val="00D869BB"/>
    <w:rsid w:val="00D91EF7"/>
    <w:rsid w:val="00DB4F45"/>
    <w:rsid w:val="00DC00D6"/>
    <w:rsid w:val="00DC5A77"/>
    <w:rsid w:val="00DD4189"/>
    <w:rsid w:val="00DE558D"/>
    <w:rsid w:val="00DE7B78"/>
    <w:rsid w:val="00DF6211"/>
    <w:rsid w:val="00DF6E4F"/>
    <w:rsid w:val="00DF7CF0"/>
    <w:rsid w:val="00E01F5F"/>
    <w:rsid w:val="00E12926"/>
    <w:rsid w:val="00E17780"/>
    <w:rsid w:val="00E31935"/>
    <w:rsid w:val="00E4427A"/>
    <w:rsid w:val="00E71007"/>
    <w:rsid w:val="00E74026"/>
    <w:rsid w:val="00E80386"/>
    <w:rsid w:val="00E9106C"/>
    <w:rsid w:val="00E925B9"/>
    <w:rsid w:val="00E96966"/>
    <w:rsid w:val="00E9771B"/>
    <w:rsid w:val="00EA3EEB"/>
    <w:rsid w:val="00EA77D7"/>
    <w:rsid w:val="00EB618A"/>
    <w:rsid w:val="00ED674E"/>
    <w:rsid w:val="00EF4802"/>
    <w:rsid w:val="00F036C9"/>
    <w:rsid w:val="00F039AA"/>
    <w:rsid w:val="00F31409"/>
    <w:rsid w:val="00F3308A"/>
    <w:rsid w:val="00F34DD8"/>
    <w:rsid w:val="00F40AF6"/>
    <w:rsid w:val="00F71971"/>
    <w:rsid w:val="00F92257"/>
    <w:rsid w:val="00F9287E"/>
    <w:rsid w:val="00FA1F0B"/>
    <w:rsid w:val="00FB23A2"/>
    <w:rsid w:val="00FC0A6B"/>
    <w:rsid w:val="00FC1B68"/>
    <w:rsid w:val="00FD25FB"/>
    <w:rsid w:val="00FD575D"/>
    <w:rsid w:val="00FF117D"/>
    <w:rsid w:val="00FF3FB4"/>
    <w:rsid w:val="099836F7"/>
    <w:rsid w:val="09B614D7"/>
    <w:rsid w:val="0D9435BF"/>
    <w:rsid w:val="11074842"/>
    <w:rsid w:val="133E5414"/>
    <w:rsid w:val="196D1903"/>
    <w:rsid w:val="19984F3F"/>
    <w:rsid w:val="1A55185A"/>
    <w:rsid w:val="1BCF4811"/>
    <w:rsid w:val="1E05505C"/>
    <w:rsid w:val="1E7F1883"/>
    <w:rsid w:val="1EA1250C"/>
    <w:rsid w:val="1F4D505A"/>
    <w:rsid w:val="20487CF0"/>
    <w:rsid w:val="22ED6F84"/>
    <w:rsid w:val="2389393B"/>
    <w:rsid w:val="24846421"/>
    <w:rsid w:val="2CA70830"/>
    <w:rsid w:val="38A0581A"/>
    <w:rsid w:val="3C66464A"/>
    <w:rsid w:val="3CEA6D3A"/>
    <w:rsid w:val="3D1E68EC"/>
    <w:rsid w:val="3DB86D41"/>
    <w:rsid w:val="3F951F40"/>
    <w:rsid w:val="3FEF2EC8"/>
    <w:rsid w:val="42550ED6"/>
    <w:rsid w:val="42ED1244"/>
    <w:rsid w:val="46406526"/>
    <w:rsid w:val="49050923"/>
    <w:rsid w:val="49F4208D"/>
    <w:rsid w:val="4AFD6F6A"/>
    <w:rsid w:val="4B883DE2"/>
    <w:rsid w:val="4DB82EDF"/>
    <w:rsid w:val="5239548B"/>
    <w:rsid w:val="53616F89"/>
    <w:rsid w:val="5C7B06AC"/>
    <w:rsid w:val="5D4902E3"/>
    <w:rsid w:val="5DF75677"/>
    <w:rsid w:val="604E0DAD"/>
    <w:rsid w:val="60BA0D0F"/>
    <w:rsid w:val="6273735A"/>
    <w:rsid w:val="654F76F5"/>
    <w:rsid w:val="655C41BD"/>
    <w:rsid w:val="6CB44AA3"/>
    <w:rsid w:val="72081E4F"/>
    <w:rsid w:val="7BCB2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6"/>
    <w:qFormat/>
    <w:uiPriority w:val="0"/>
    <w:pPr>
      <w:keepLines/>
      <w:tabs>
        <w:tab w:val="left" w:pos="1134"/>
      </w:tabs>
      <w:spacing w:before="120" w:after="120" w:line="380" w:lineRule="atLeast"/>
      <w:outlineLvl w:val="0"/>
    </w:pPr>
    <w:rPr>
      <w:rFonts w:ascii="黑体" w:eastAsia="黑体"/>
      <w:kern w:val="44"/>
      <w:sz w:val="30"/>
    </w:rPr>
  </w:style>
  <w:style w:type="paragraph" w:styleId="3">
    <w:name w:val="heading 2"/>
    <w:basedOn w:val="1"/>
    <w:next w:val="4"/>
    <w:link w:val="27"/>
    <w:qFormat/>
    <w:uiPriority w:val="0"/>
    <w:pPr>
      <w:widowControl/>
      <w:tabs>
        <w:tab w:val="left" w:pos="927"/>
      </w:tabs>
      <w:spacing w:before="240" w:after="240" w:line="400" w:lineRule="exact"/>
      <w:ind w:left="927" w:hanging="567"/>
      <w:outlineLvl w:val="1"/>
    </w:pPr>
    <w:rPr>
      <w:rFonts w:ascii="黑体" w:hAnsi="Arial" w:eastAsia="黑体"/>
      <w:kern w:val="0"/>
      <w:sz w:val="28"/>
    </w:rPr>
  </w:style>
  <w:style w:type="paragraph" w:styleId="5">
    <w:name w:val="heading 3"/>
    <w:basedOn w:val="1"/>
    <w:next w:val="4"/>
    <w:link w:val="32"/>
    <w:qFormat/>
    <w:uiPriority w:val="0"/>
    <w:pPr>
      <w:widowControl/>
      <w:spacing w:before="240" w:after="240" w:line="320" w:lineRule="exact"/>
      <w:ind w:left="263" w:leftChars="63" w:hanging="200" w:hangingChars="200"/>
      <w:outlineLvl w:val="2"/>
    </w:pPr>
    <w:rPr>
      <w:rFonts w:ascii="黑体" w:hAnsi="Arial" w:eastAsia="黑体"/>
      <w:color w:val="000000"/>
      <w:kern w:val="0"/>
      <w:sz w:val="24"/>
    </w:rPr>
  </w:style>
  <w:style w:type="character" w:default="1" w:styleId="19">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4">
    <w:name w:val="Normal Indent"/>
    <w:basedOn w:val="1"/>
    <w:unhideWhenUsed/>
    <w:qFormat/>
    <w:uiPriority w:val="99"/>
    <w:pPr>
      <w:ind w:firstLine="420" w:firstLineChars="200"/>
    </w:pPr>
  </w:style>
  <w:style w:type="paragraph" w:styleId="6">
    <w:name w:val="caption"/>
    <w:basedOn w:val="1"/>
    <w:next w:val="1"/>
    <w:qFormat/>
    <w:uiPriority w:val="0"/>
    <w:pPr>
      <w:spacing w:before="152" w:after="160"/>
      <w:jc w:val="center"/>
    </w:pPr>
  </w:style>
  <w:style w:type="paragraph" w:styleId="7">
    <w:name w:val="annotation text"/>
    <w:basedOn w:val="1"/>
    <w:link w:val="29"/>
    <w:semiHidden/>
    <w:unhideWhenUsed/>
    <w:qFormat/>
    <w:uiPriority w:val="99"/>
    <w:pPr>
      <w:jc w:val="left"/>
    </w:pPr>
  </w:style>
  <w:style w:type="paragraph" w:styleId="8">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9">
    <w:name w:val="Balloon Text"/>
    <w:basedOn w:val="1"/>
    <w:link w:val="31"/>
    <w:semiHidden/>
    <w:unhideWhenUsed/>
    <w:qFormat/>
    <w:uiPriority w:val="99"/>
    <w:rPr>
      <w:sz w:val="18"/>
      <w:szCs w:val="18"/>
    </w:rPr>
  </w:style>
  <w:style w:type="paragraph" w:styleId="10">
    <w:name w:val="footer"/>
    <w:basedOn w:val="1"/>
    <w:link w:val="24"/>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1">
    <w:name w:val="header"/>
    <w:basedOn w:val="1"/>
    <w:link w:val="23"/>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2">
    <w:name w:val="toc 1"/>
    <w:basedOn w:val="1"/>
    <w:next w:val="1"/>
    <w:unhideWhenUsed/>
    <w:qFormat/>
    <w:uiPriority w:val="39"/>
  </w:style>
  <w:style w:type="paragraph" w:styleId="13">
    <w:name w:val="table of figures"/>
    <w:basedOn w:val="1"/>
    <w:next w:val="1"/>
    <w:unhideWhenUsed/>
    <w:qFormat/>
    <w:uiPriority w:val="99"/>
    <w:pPr>
      <w:ind w:left="200" w:leftChars="200" w:hanging="200" w:hangingChars="200"/>
    </w:pPr>
  </w:style>
  <w:style w:type="paragraph" w:styleId="14">
    <w:name w:val="toc 2"/>
    <w:basedOn w:val="1"/>
    <w:next w:val="1"/>
    <w:unhideWhenUsed/>
    <w:qFormat/>
    <w:uiPriority w:val="39"/>
    <w:pPr>
      <w:tabs>
        <w:tab w:val="left" w:pos="1050"/>
        <w:tab w:val="right" w:leader="dot" w:pos="9060"/>
      </w:tabs>
      <w:spacing w:line="400" w:lineRule="exact"/>
      <w:ind w:left="420" w:leftChars="200"/>
    </w:pPr>
  </w:style>
  <w:style w:type="paragraph" w:styleId="15">
    <w:name w:val="Normal (Web)"/>
    <w:basedOn w:val="1"/>
    <w:qFormat/>
    <w:uiPriority w:val="99"/>
    <w:pPr>
      <w:widowControl/>
      <w:spacing w:before="100" w:beforeAutospacing="1" w:after="100" w:afterAutospacing="1"/>
      <w:jc w:val="left"/>
    </w:pPr>
    <w:rPr>
      <w:rFonts w:ascii="宋体" w:hAnsi="宋体" w:cs="宋体"/>
      <w:kern w:val="0"/>
      <w:szCs w:val="24"/>
    </w:rPr>
  </w:style>
  <w:style w:type="paragraph" w:styleId="16">
    <w:name w:val="annotation subject"/>
    <w:basedOn w:val="7"/>
    <w:next w:val="7"/>
    <w:link w:val="30"/>
    <w:semiHidden/>
    <w:unhideWhenUsed/>
    <w:qFormat/>
    <w:uiPriority w:val="99"/>
    <w:rPr>
      <w:b/>
      <w:bCs/>
    </w:rPr>
  </w:style>
  <w:style w:type="table" w:styleId="18">
    <w:name w:val="Table Grid"/>
    <w:basedOn w:val="1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annotation reference"/>
    <w:basedOn w:val="19"/>
    <w:semiHidden/>
    <w:unhideWhenUsed/>
    <w:qFormat/>
    <w:uiPriority w:val="99"/>
    <w:rPr>
      <w:sz w:val="21"/>
      <w:szCs w:val="21"/>
    </w:rPr>
  </w:style>
  <w:style w:type="character" w:customStyle="1" w:styleId="23">
    <w:name w:val="页眉 字符"/>
    <w:basedOn w:val="19"/>
    <w:link w:val="11"/>
    <w:qFormat/>
    <w:uiPriority w:val="99"/>
    <w:rPr>
      <w:sz w:val="18"/>
      <w:szCs w:val="18"/>
    </w:rPr>
  </w:style>
  <w:style w:type="character" w:customStyle="1" w:styleId="24">
    <w:name w:val="页脚 字符"/>
    <w:basedOn w:val="19"/>
    <w:link w:val="10"/>
    <w:qFormat/>
    <w:uiPriority w:val="99"/>
    <w:rPr>
      <w:sz w:val="18"/>
      <w:szCs w:val="18"/>
    </w:rPr>
  </w:style>
  <w:style w:type="paragraph" w:styleId="25">
    <w:name w:val="List Paragraph"/>
    <w:basedOn w:val="1"/>
    <w:qFormat/>
    <w:uiPriority w:val="34"/>
    <w:pPr>
      <w:ind w:firstLine="420" w:firstLineChars="200"/>
    </w:pPr>
  </w:style>
  <w:style w:type="character" w:customStyle="1" w:styleId="26">
    <w:name w:val="标题 1 字符"/>
    <w:basedOn w:val="19"/>
    <w:link w:val="2"/>
    <w:qFormat/>
    <w:uiPriority w:val="0"/>
    <w:rPr>
      <w:rFonts w:ascii="黑体" w:hAnsi="Times New Roman" w:eastAsia="黑体" w:cs="Times New Roman"/>
      <w:kern w:val="44"/>
      <w:sz w:val="30"/>
      <w:szCs w:val="20"/>
    </w:rPr>
  </w:style>
  <w:style w:type="character" w:customStyle="1" w:styleId="27">
    <w:name w:val="标题 2 字符"/>
    <w:basedOn w:val="19"/>
    <w:link w:val="3"/>
    <w:qFormat/>
    <w:uiPriority w:val="0"/>
    <w:rPr>
      <w:rFonts w:ascii="黑体" w:hAnsi="Arial" w:eastAsia="黑体" w:cs="Times New Roman"/>
      <w:kern w:val="0"/>
      <w:sz w:val="28"/>
      <w:szCs w:val="20"/>
    </w:rPr>
  </w:style>
  <w:style w:type="paragraph" w:customStyle="1" w:styleId="28">
    <w:name w:val="TOC 标题1"/>
    <w:basedOn w:val="2"/>
    <w:next w:val="1"/>
    <w:unhideWhenUsed/>
    <w:qFormat/>
    <w:uiPriority w:val="39"/>
    <w:pPr>
      <w:keepNext/>
      <w:widowControl/>
      <w:tabs>
        <w:tab w:val="clear" w:pos="1134"/>
      </w:tabs>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29">
    <w:name w:val="批注文字 字符"/>
    <w:basedOn w:val="19"/>
    <w:link w:val="7"/>
    <w:semiHidden/>
    <w:qFormat/>
    <w:uiPriority w:val="99"/>
    <w:rPr>
      <w:rFonts w:ascii="Times New Roman" w:hAnsi="Times New Roman" w:eastAsia="宋体" w:cs="Times New Roman"/>
      <w:szCs w:val="20"/>
    </w:rPr>
  </w:style>
  <w:style w:type="character" w:customStyle="1" w:styleId="30">
    <w:name w:val="批注主题 字符"/>
    <w:basedOn w:val="29"/>
    <w:link w:val="16"/>
    <w:semiHidden/>
    <w:qFormat/>
    <w:uiPriority w:val="99"/>
    <w:rPr>
      <w:rFonts w:ascii="Times New Roman" w:hAnsi="Times New Roman" w:eastAsia="宋体" w:cs="Times New Roman"/>
      <w:b/>
      <w:bCs/>
      <w:szCs w:val="20"/>
    </w:rPr>
  </w:style>
  <w:style w:type="character" w:customStyle="1" w:styleId="31">
    <w:name w:val="批注框文本 字符"/>
    <w:basedOn w:val="19"/>
    <w:link w:val="9"/>
    <w:semiHidden/>
    <w:qFormat/>
    <w:uiPriority w:val="99"/>
    <w:rPr>
      <w:rFonts w:ascii="Times New Roman" w:hAnsi="Times New Roman" w:eastAsia="宋体" w:cs="Times New Roman"/>
      <w:sz w:val="18"/>
      <w:szCs w:val="18"/>
    </w:rPr>
  </w:style>
  <w:style w:type="character" w:customStyle="1" w:styleId="32">
    <w:name w:val="标题 3 字符"/>
    <w:basedOn w:val="19"/>
    <w:link w:val="5"/>
    <w:qFormat/>
    <w:uiPriority w:val="0"/>
    <w:rPr>
      <w:rFonts w:ascii="黑体" w:hAnsi="Arial" w:eastAsia="黑体" w:cs="Times New Roman"/>
      <w:color w:val="000000"/>
      <w:kern w:val="0"/>
      <w:sz w:val="24"/>
      <w:szCs w:val="20"/>
    </w:rPr>
  </w:style>
  <w:style w:type="character" w:styleId="33">
    <w:name w:val="Placeholder Text"/>
    <w:basedOn w:val="19"/>
    <w:semiHidden/>
    <w:qFormat/>
    <w:uiPriority w:val="99"/>
    <w:rPr>
      <w:color w:val="808080"/>
    </w:rPr>
  </w:style>
  <w:style w:type="paragraph" w:customStyle="1" w:styleId="34">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F32231-5179-4AF0-82DC-3771E8861119}">
  <ds:schemaRefs/>
</ds:datastoreItem>
</file>

<file path=docProps/app.xml><?xml version="1.0" encoding="utf-8"?>
<Properties xmlns="http://schemas.openxmlformats.org/officeDocument/2006/extended-properties" xmlns:vt="http://schemas.openxmlformats.org/officeDocument/2006/docPropsVTypes">
  <Template>Normal</Template>
  <Pages>18</Pages>
  <Words>9263</Words>
  <Characters>14441</Characters>
  <Lines>113</Lines>
  <Paragraphs>31</Paragraphs>
  <TotalTime>2</TotalTime>
  <ScaleCrop>false</ScaleCrop>
  <LinksUpToDate>false</LinksUpToDate>
  <CharactersWithSpaces>15530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2022-04-12T02:33:00Z</dcterms:created>
  <dc:creator>严 震</dc:creator>
  <cp:lastModifiedBy>18373298</cp:lastModifiedBy>
  <cp:lastPrinted>2020-12-17T11:27:00Z</cp:lastPrinted>
  <dcterms:modified xsi:type="dcterms:W3CDTF">2022-04-14T04:19:31Z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439BA0DFBA0B4EA79809102FB611D320</vt:lpwstr>
  </property>
</Properties>
</file>