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51c4dd4e2ca45da" /><Relationship Type="http://schemas.openxmlformats.org/package/2006/relationships/metadata/core-properties" Target="/docProps/core.xml" Id="Rb5b2a478b729414f" /><Relationship Type="http://schemas.openxmlformats.org/officeDocument/2006/relationships/extended-properties" Target="/docProps/app.xml" Id="Rbc255447d0c444f0" /><Relationship Type="http://schemas.openxmlformats.org/officeDocument/2006/relationships/custom-properties" Target="/docProps/custom.xml" Id="R63fac01f3755435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20"/>
        <w:jc w:val="center"/>
      </w:pPr>
      <w:r>
        <w:rPr>
          <w:b/>
          <w:sz w:val="44"/>
        </w:rPr>
        <w:t xml:space="preserve">E-Commerce Shipment Delivery Prediction and Delay Analysis</w:t>
      </w:r>
    </w:p>
    <w:p w14:paraId="00100002" w14:textId="00100003">
      <w:pPr>
        <w:pStyle w:val="Normal"/>
        <w:spacing w:after="80"/>
        <w:jc w:val="center"/>
      </w:pPr>
      <w:r>
        <w:rPr>
          <w:sz w:val="28"/>
        </w:rPr>
        <w:t xml:space="preserve">Project Report</w:t>
      </w:r>
    </w:p>
    <w:p w14:paraId="00100004" w14:textId="00100005">
      <w:pPr>
        <w:pStyle w:val="Normal"/>
        <w:spacing w:after="80"/>
        <w:jc w:val="center"/>
      </w:pPr>
      <w:r>
        <w:rPr>
          <w:sz w:val="24"/>
        </w:rPr>
        <w:t xml:space="preserve">Author: Milind Kalura</w:t>
      </w:r>
    </w:p>
    <w:p w14:paraId="00100006" w14:textId="00100007">
      <w:pPr>
        <w:pStyle w:val="Normal"/>
        <w:spacing w:after="80"/>
        <w:jc w:val="center"/>
      </w:pPr>
      <w:r>
        <w:rPr>
          <w:sz w:val="22"/>
        </w:rPr>
        <w:t xml:space="preserve">Dataset: E-Commerce Delivery &amp; Shipping Data 2026  |  Records: 50,000  |  Columns: 30</w:t>
      </w:r>
    </w:p>
    <w:p w14:paraId="00100008" w14:textId="00100009">
      <w:pPr>
        <w:pStyle w:val="Normal"/>
        <w:spacing w:after="320"/>
        <w:jc w:val="center"/>
      </w:pPr>
      <w:r>
        <w:rPr>
          <w:sz w:val="22"/>
        </w:rPr>
        <w:t xml:space="preserve">Tools: Python, pandas, scikit-learn, matplotlib, seaborn</w:t>
      </w:r>
    </w:p>
    <w:p w14:paraId="0010000A" w14:textId="0010000B">
      <w:pPr>
        <w:pStyle w:val="Heading2"/>
        <w:spacing w:after="120"/>
      </w:pPr>
      <w:r>
        <w:rPr>
          <w:b/>
          <w:sz w:val="28"/>
        </w:rPr>
        <w:t xml:space="preserve">Table of Contents</w:t>
      </w:r>
    </w:p>
    <w:p w14:paraId="0010000C" w14:textId="0010000D">
      <w:pPr>
        <w:pStyle w:val="Normal"/>
        <w:spacing w:after="320"/>
      </w:pPr>
      <w:r>
        <w:rPr>
          <w:sz w:val="22"/>
        </w:rPr>
        <w:t xml:space="preserve">1. Problem Statement</w:t>
      </w:r>
    </w:p>
    <w:p w14:paraId="0010000E" w14:textId="0010000F">
      <w:pPr>
        <w:pStyle w:val="Normal"/>
        <w:spacing w:after="320"/>
      </w:pPr>
      <w:r>
        <w:rPr>
          <w:sz w:val="22"/>
        </w:rPr>
        <w:t xml:space="preserve">2. Dataset Overview</w:t>
      </w:r>
    </w:p>
    <w:p w14:paraId="00100010" w14:textId="00100011">
      <w:pPr>
        <w:pStyle w:val="Normal"/>
        <w:spacing w:after="320"/>
      </w:pPr>
      <w:r>
        <w:rPr>
          <w:sz w:val="22"/>
        </w:rPr>
        <w:t xml:space="preserve">3. Data Cleaning</w:t>
      </w:r>
    </w:p>
    <w:p w14:paraId="00100012" w14:textId="00100013">
      <w:pPr>
        <w:pStyle w:val="Normal"/>
        <w:spacing w:after="320"/>
      </w:pPr>
      <w:r>
        <w:rPr>
          <w:sz w:val="22"/>
        </w:rPr>
        <w:t xml:space="preserve">4. Exploratory Data Analysis</w:t>
      </w:r>
    </w:p>
    <w:p w14:paraId="00100014" w14:textId="00100015">
      <w:pPr>
        <w:pStyle w:val="Normal"/>
        <w:spacing w:after="320"/>
      </w:pPr>
      <w:r>
        <w:rPr>
          <w:sz w:val="22"/>
        </w:rPr>
        <w:t xml:space="preserve">5. Feature Engineering</w:t>
      </w:r>
    </w:p>
    <w:p w14:paraId="00100016" w14:textId="00100017">
      <w:pPr>
        <w:pStyle w:val="Normal"/>
        <w:spacing w:after="320"/>
      </w:pPr>
      <w:r>
        <w:rPr>
          <w:sz w:val="22"/>
        </w:rPr>
        <w:t xml:space="preserve">6. Data Preprocessing</w:t>
      </w:r>
    </w:p>
    <w:p w14:paraId="00100018" w14:textId="00100019">
      <w:pPr>
        <w:pStyle w:val="Normal"/>
        <w:spacing w:after="320"/>
      </w:pPr>
      <w:r>
        <w:rPr>
          <w:sz w:val="22"/>
        </w:rPr>
        <w:t xml:space="preserve">7. Machine Learning Models</w:t>
      </w:r>
    </w:p>
    <w:p w14:paraId="0010001A" w14:textId="0010001B">
      <w:pPr>
        <w:pStyle w:val="Normal"/>
        <w:spacing w:after="320"/>
      </w:pPr>
      <w:r>
        <w:rPr>
          <w:sz w:val="22"/>
        </w:rPr>
        <w:t xml:space="preserve">8. Model Evaluation Results</w:t>
      </w:r>
    </w:p>
    <w:p w14:paraId="0010001C" w14:textId="0010001D">
      <w:pPr>
        <w:pStyle w:val="Normal"/>
        <w:spacing w:after="320"/>
      </w:pPr>
      <w:r>
        <w:rPr>
          <w:sz w:val="22"/>
        </w:rPr>
        <w:t xml:space="preserve">9. Feature Importance</w:t>
      </w:r>
    </w:p>
    <w:p w14:paraId="0010001E" w14:textId="0010001F">
      <w:pPr>
        <w:pStyle w:val="Normal"/>
        <w:spacing w:after="320"/>
      </w:pPr>
      <w:r>
        <w:rPr>
          <w:sz w:val="22"/>
        </w:rPr>
        <w:t xml:space="preserve">10. Business Insights</w:t>
      </w:r>
    </w:p>
    <w:p w14:paraId="00100020" w14:textId="00100021">
      <w:pPr>
        <w:pStyle w:val="Normal"/>
        <w:spacing w:after="320"/>
      </w:pPr>
      <w:r>
        <w:rPr>
          <w:sz w:val="22"/>
        </w:rPr>
        <w:t xml:space="preserve">11. Conclusion, Limitations &amp; Future Scope</w:t>
      </w:r>
    </w:p>
    <w:p w14:paraId="00100022" w14:textId="00100023">
      <w:pPr>
        <w:pStyle w:val="Heading2"/>
        <w:spacing w:after="80"/>
      </w:pPr>
      <w:r>
        <w:rPr>
          <w:b/>
          <w:sz w:val="28"/>
        </w:rPr>
        <w:t xml:space="preserve">1. Problem Statement</w:t>
      </w:r>
    </w:p>
    <w:p w14:paraId="00100024" w14:textId="00100025">
      <w:pPr>
        <w:pStyle w:val="Normal"/>
        <w:spacing w:after="160"/>
      </w:pPr>
      <w:r>
        <w:rPr>
          <w:sz w:val="22"/>
        </w:rPr>
        <w:t xml:space="preserve">Late deliveries are one of the primary drivers of customer dissatisfaction and return requests in e-commerce. This project builds a binary classification system to predict whether a shipment will arrive late (late_delivery = Yes) using operational, logistical, and environmental features from 50,000 orders placed in 2026.</w:t>
      </w:r>
    </w:p>
    <w:p w14:paraId="00100026" w14:textId="00100027">
      <w:pPr>
        <w:pStyle w:val="Normal"/>
        <w:spacing w:after="40"/>
      </w:pPr>
      <w:r>
        <w:rPr>
          <w:b/>
          <w:sz w:val="22"/>
        </w:rPr>
        <w:t xml:space="preserve">Objectives:</w:t>
      </w:r>
    </w:p>
    <w:p w14:paraId="00100028" w14:textId="00100029">
      <w:pPr>
        <w:pStyle w:val="Normal"/>
        <w:spacing w:after="240"/>
      </w:pPr>
      <w:r>
        <w:rPr>
          <w:sz w:val="22"/>
        </w:rPr>
        <w:t xml:space="preserve">• Identify the key factors that drive late deliveries</w:t>
      </w:r>
    </w:p>
    <w:p w14:paraId="0010002A" w14:textId="0010002B">
      <w:pPr>
        <w:pStyle w:val="Normal"/>
        <w:spacing w:after="240"/>
      </w:pPr>
      <w:r>
        <w:rPr>
          <w:sz w:val="22"/>
        </w:rPr>
        <w:t xml:space="preserve">• Train and compare classification models (Logistic Regression, Decision Tree, Random Forest)</w:t>
      </w:r>
    </w:p>
    <w:p w14:paraId="0010002C" w14:textId="0010002D">
      <w:pPr>
        <w:pStyle w:val="Normal"/>
        <w:spacing w:after="240"/>
      </w:pPr>
      <w:r>
        <w:rPr>
          <w:sz w:val="22"/>
        </w:rPr>
        <w:t xml:space="preserve">• Generate actionable business insights to reduce delay rates</w:t>
      </w:r>
    </w:p>
    <w:p w14:paraId="0010002E" w14:textId="0010002F">
      <w:pPr>
        <w:pStyle w:val="Normal"/>
        <w:spacing w:after="240"/>
      </w:pPr>
      <w:r>
        <w:rPr>
          <w:sz w:val="22"/>
        </w:rPr>
        <w:t xml:space="preserve">• Quantify the business impact of late deliveries on return rates</w:t>
      </w:r>
    </w:p>
    <w:p w14:paraId="00100030" w14:textId="00100031">
      <w:pPr>
        <w:pStyle w:val="Heading2"/>
        <w:spacing w:after="80"/>
      </w:pPr>
      <w:r>
        <w:rPr>
          <w:b/>
          <w:sz w:val="28"/>
        </w:rPr>
        <w:t xml:space="preserve">2. Dataset Overview</w:t>
      </w:r>
    </w:p>
    <w:p w14:paraId="00100032" w14:textId="00100033">
      <w:pPr>
        <w:pStyle w:val="Normal"/>
        <w:spacing w:after="120"/>
      </w:pPr>
      <w:r>
        <w:rPr>
          <w:sz w:val="22"/>
        </w:rPr>
        <w:t xml:space="preserve">The dataset contains 50,000 e-commerce shipment records from 2026 across multiple countries, carriers, product categories, and shipping methods. Each record captures the complete lifecycle of an order from placement to delivery.</w:t>
      </w:r>
    </w:p>
    <w:p w14:paraId="00100034" w14:textId="00100035">
      <w:pPr>
        <w:pStyle w:val="Normal"/>
        <w:spacing w:after="80"/>
      </w:pPr>
      <w:r>
        <w:rPr>
          <w:b/>
          <w:sz w:val="22"/>
        </w:rPr>
        <w:t xml:space="preserve">Dataset Statistics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36" w14:textId="00100037">
            <w:r>
              <w:t xml:space="preserve">Attribute</w:t>
            </w:r>
          </w:p>
        </w:tc>
        <w:tc>
          <w:p w14:paraId="00100038" w14:textId="00100039">
            <w:r>
              <w:t xml:space="preserve">Value</w:t>
            </w:r>
          </w:p>
        </w:tc>
        <w:tc>
          <w:p w14:paraId="0010003A" w14:textId="0010003B">
            <w:r>
              <w:t xml:space="preserve">Notes</w:t>
            </w:r>
          </w:p>
        </w:tc>
      </w:tr>
      <w:tr>
        <w:trPr/>
        <w:tc>
          <w:p w14:paraId="0010003C" w14:textId="0010003D">
            <w:r>
              <w:t xml:space="preserve">Total Records</w:t>
            </w:r>
          </w:p>
        </w:tc>
        <w:tc>
          <w:p w14:paraId="0010003E" w14:textId="0010003F">
            <w:r>
              <w:t xml:space="preserve">50,000</w:t>
            </w:r>
          </w:p>
        </w:tc>
        <w:tc>
          <w:p w14:paraId="00100040" w14:textId="00100041">
            <w:r>
              <w:t xml:space="preserve">Orders placed in 2026</w:t>
            </w:r>
          </w:p>
        </w:tc>
      </w:tr>
      <w:tr>
        <w:trPr/>
        <w:tc>
          <w:p w14:paraId="00100042" w14:textId="00100043">
            <w:r>
              <w:t xml:space="preserve">Total Columns</w:t>
            </w:r>
          </w:p>
        </w:tc>
        <w:tc>
          <w:p w14:paraId="00100044" w14:textId="00100045">
            <w:r>
              <w:t xml:space="preserve">30</w:t>
            </w:r>
          </w:p>
        </w:tc>
        <w:tc>
          <w:p w14:paraId="00100046" w14:textId="00100047">
            <w:r>
              <w:t xml:space="preserve">Identifiers, logistics, outcomes</w:t>
            </w:r>
          </w:p>
        </w:tc>
      </w:tr>
      <w:tr>
        <w:trPr/>
        <w:tc>
          <w:p w14:paraId="00100048" w14:textId="00100049">
            <w:r>
              <w:t xml:space="preserve">Target Variable</w:t>
            </w:r>
          </w:p>
        </w:tc>
        <w:tc>
          <w:p w14:paraId="0010004A" w14:textId="0010004B">
            <w:r>
              <w:t xml:space="preserve">late_delivery</w:t>
            </w:r>
          </w:p>
        </w:tc>
        <w:tc>
          <w:p w14:paraId="0010004C" w14:textId="0010004D">
            <w:r>
              <w:t xml:space="preserve">Binary: Yes (56.3%) / No (43.7%)</w:t>
            </w:r>
          </w:p>
        </w:tc>
      </w:tr>
      <w:tr>
        <w:trPr/>
        <w:tc>
          <w:p w14:paraId="0010004E" w14:textId="0010004F">
            <w:r>
              <w:t xml:space="preserve">Date Range</w:t>
            </w:r>
          </w:p>
        </w:tc>
        <w:tc>
          <w:p w14:paraId="00100050" w14:textId="00100051">
            <w:r>
              <w:t xml:space="preserve">2026 (full year)</w:t>
            </w:r>
          </w:p>
        </w:tc>
        <w:tc>
          <w:p w14:paraId="00100052" w14:textId="00100053">
            <w:r>
              <w:t xml:space="preserve">order_date column</w:t>
            </w:r>
          </w:p>
        </w:tc>
      </w:tr>
      <w:tr>
        <w:trPr/>
        <w:tc>
          <w:p w14:paraId="00100054" w14:textId="00100055">
            <w:r>
              <w:t xml:space="preserve">Missing Values</w:t>
            </w:r>
          </w:p>
        </w:tc>
        <w:tc>
          <w:p w14:paraId="00100056" w14:textId="00100057">
            <w:r>
              <w:t xml:space="preserve">0</w:t>
            </w:r>
          </w:p>
        </w:tc>
        <w:tc>
          <w:p w14:paraId="00100058" w14:textId="00100059">
            <w:r>
              <w:t xml:space="preserve">No imputation required</w:t>
            </w:r>
          </w:p>
        </w:tc>
      </w:tr>
      <w:tr>
        <w:trPr/>
        <w:tc>
          <w:p w14:paraId="0010005A" w14:textId="0010005B">
            <w:r>
              <w:t xml:space="preserve">Duplicate Rows</w:t>
            </w:r>
          </w:p>
        </w:tc>
        <w:tc>
          <w:p w14:paraId="0010005C" w14:textId="0010005D">
            <w:r>
              <w:t xml:space="preserve">0</w:t>
            </w:r>
          </w:p>
        </w:tc>
        <w:tc>
          <w:p w14:paraId="0010005E" w14:textId="0010005F">
            <w:r>
              <w:t xml:space="preserve">All order_ids unique</w:t>
            </w:r>
          </w:p>
        </w:tc>
      </w:tr>
      <w:tr>
        <w:trPr/>
        <w:tc>
          <w:p w14:paraId="00100060" w14:textId="00100061">
            <w:r>
              <w:t xml:space="preserve">Countries</w:t>
            </w:r>
          </w:p>
        </w:tc>
        <w:tc>
          <w:p w14:paraId="00100062" w14:textId="00100063">
            <w:r>
              <w:t xml:space="preserve">Multiple</w:t>
            </w:r>
          </w:p>
        </w:tc>
        <w:tc>
          <w:p w14:paraId="00100064" w14:textId="00100065">
            <w:r>
              <w:t xml:space="preserve">Japan, Canada, USA, India, etc.</w:t>
            </w:r>
          </w:p>
        </w:tc>
      </w:tr>
    </w:tbl>
    <w:p w14:paraId="00100066" w14:textId="00100067">
      <w:pPr>
        <w:pStyle w:val="Normal"/>
        <w:spacing w:after="240"/>
      </w:pPr>
      <w:r>
        <w:rPr>
          <w:sz w:val="22"/>
        </w:rPr>
        <w:t xml:space="preserve">Column descriptions include identifiers (order_id, customer_id), dates (order_date), geography (customer_city, customer_country, warehouse_city), product attributes (product_category, product_weight_kg, package_size), logistics (shipping_method, carrier, distance_km, promised_delivery_days, actual_delivery_days), financials (order_value_usd, shipping_cost_usd), and outcomes (late_delivery, delivery_delay_days, return_requested, customer_rating).</w:t>
      </w:r>
    </w:p>
    <w:p w14:paraId="00100068" w14:textId="00100069">
      <w:pPr>
        <w:pStyle w:val="Heading2"/>
        <w:spacing w:after="80"/>
      </w:pPr>
      <w:r>
        <w:rPr>
          <w:b/>
          <w:sz w:val="28"/>
        </w:rPr>
        <w:t xml:space="preserve">3. Data Cleaning</w:t>
      </w:r>
    </w:p>
    <w:p w14:paraId="0010006A" w14:textId="0010006B">
      <w:pPr>
        <w:pStyle w:val="Normal"/>
        <w:spacing w:after="80"/>
      </w:pPr>
      <w:r>
        <w:rPr>
          <w:sz w:val="22"/>
        </w:rPr>
        <w:t xml:space="preserve">Missing Values: The dataset contains no missing values across all 30 columns. All fields are fully populated for each of the 50,000 records.</w:t>
      </w:r>
    </w:p>
    <w:p w14:paraId="0010006C" w14:textId="0010006D">
      <w:pPr>
        <w:pStyle w:val="Normal"/>
        <w:spacing w:after="80"/>
      </w:pPr>
      <w:r>
        <w:rPr>
          <w:sz w:val="22"/>
        </w:rPr>
        <w:t xml:space="preserve">Duplicate Records: No duplicate rows or duplicate order_id values were found. Each order is uniquely identified.</w:t>
      </w:r>
    </w:p>
    <w:p w14:paraId="0010006E" w14:textId="0010006F">
      <w:pPr>
        <w:pStyle w:val="Normal"/>
        <w:spacing w:after="80"/>
      </w:pPr>
      <w:r>
        <w:rPr>
          <w:sz w:val="22"/>
        </w:rPr>
        <w:t xml:space="preserve">Data Type Corrections: The order_date column was converted from string to datetime format to enable temporal feature extraction (month, day of week).</w:t>
      </w:r>
    </w:p>
    <w:p w14:paraId="00100070" w14:textId="00100071">
      <w:pPr>
        <w:pStyle w:val="Normal"/>
        <w:spacing w:after="240"/>
      </w:pPr>
      <w:r>
        <w:rPr>
          <w:sz w:val="22"/>
        </w:rPr>
        <w:t xml:space="preserve">Target Variable: The binary target late_delivery has 28,162 positive cases (Yes = 56.3%) and 21,838 negative cases (No = 43.7%), indicating a mild class imbalance.</w:t>
      </w:r>
    </w:p>
    <w:p w14:paraId="00100072" w14:textId="00100073">
      <w:pPr>
        <w:pStyle w:val="Heading2"/>
        <w:spacing w:after="80"/>
      </w:pPr>
      <w:r>
        <w:rPr>
          <w:b/>
          <w:sz w:val="28"/>
        </w:rPr>
        <w:t xml:space="preserve">4. Exploratory Data Analysis</w:t>
      </w:r>
    </w:p>
    <w:p w14:paraId="00100074" w14:textId="00100075">
      <w:pPr>
        <w:pStyle w:val="Heading2"/>
        <w:spacing w:after="80"/>
      </w:pPr>
      <w:r>
        <w:rPr>
          <w:b/>
          <w:sz w:val="24"/>
        </w:rPr>
        <w:t xml:space="preserve">4.1 Numerical Feature Summary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p w14:paraId="00100076" w14:textId="00100077">
            <w:r>
              <w:t xml:space="preserve">Feature</w:t>
            </w:r>
          </w:p>
        </w:tc>
        <w:tc>
          <w:p w14:paraId="00100078" w14:textId="00100079">
            <w:r>
              <w:t xml:space="preserve">Mean</w:t>
            </w:r>
          </w:p>
        </w:tc>
        <w:tc>
          <w:p w14:paraId="0010007A" w14:textId="0010007B">
            <w:r>
              <w:t xml:space="preserve">Min</w:t>
            </w:r>
          </w:p>
        </w:tc>
        <w:tc>
          <w:p w14:paraId="0010007C" w14:textId="0010007D">
            <w:r>
              <w:t xml:space="preserve">Max</w:t>
            </w:r>
          </w:p>
        </w:tc>
        <w:tc>
          <w:p w14:paraId="0010007E" w14:textId="0010007F">
            <w:r>
              <w:t xml:space="preserve">Std Dev</w:t>
            </w:r>
          </w:p>
        </w:tc>
      </w:tr>
      <w:tr>
        <w:trPr/>
        <w:tc>
          <w:p w14:paraId="00100080" w14:textId="00100081">
            <w:r>
              <w:t xml:space="preserve">product_weight_kg</w:t>
            </w:r>
          </w:p>
        </w:tc>
        <w:tc>
          <w:p w14:paraId="00100082" w14:textId="00100083">
            <w:r>
              <w:t xml:space="preserve">2.26</w:t>
            </w:r>
          </w:p>
        </w:tc>
        <w:tc>
          <w:p w14:paraId="00100084" w14:textId="00100085">
            <w:r>
              <w:t xml:space="preserve">0.10</w:t>
            </w:r>
          </w:p>
        </w:tc>
        <w:tc>
          <w:p w14:paraId="00100086" w14:textId="00100087">
            <w:r>
              <w:t xml:space="preserve">52.19</w:t>
            </w:r>
          </w:p>
        </w:tc>
        <w:tc>
          <w:p w14:paraId="00100088" w14:textId="00100089">
            <w:r>
              <w:t xml:space="preserve">3.69</w:t>
            </w:r>
          </w:p>
        </w:tc>
      </w:tr>
      <w:tr>
        <w:trPr/>
        <w:tc>
          <w:p w14:paraId="0010008A" w14:textId="0010008B">
            <w:r>
              <w:t xml:space="preserve">order_value_usd</w:t>
            </w:r>
          </w:p>
        </w:tc>
        <w:tc>
          <w:p w14:paraId="0010008C" w14:textId="0010008D">
            <w:r>
              <w:t xml:space="preserve">177.92</w:t>
            </w:r>
          </w:p>
        </w:tc>
        <w:tc>
          <w:p w14:paraId="0010008E" w14:textId="0010008F">
            <w:r>
              <w:t xml:space="preserve">10.00</w:t>
            </w:r>
          </w:p>
        </w:tc>
        <w:tc>
          <w:p w14:paraId="00100090" w14:textId="00100091">
            <w:r>
              <w:t xml:space="preserve">3,530.73</w:t>
            </w:r>
          </w:p>
        </w:tc>
        <w:tc>
          <w:p w14:paraId="00100092" w14:textId="00100093">
            <w:r>
              <w:t xml:space="preserve">291.60</w:t>
            </w:r>
          </w:p>
        </w:tc>
      </w:tr>
      <w:tr>
        <w:trPr/>
        <w:tc>
          <w:p w14:paraId="00100094" w14:textId="00100095">
            <w:r>
              <w:t xml:space="preserve">distance_km</w:t>
            </w:r>
          </w:p>
        </w:tc>
        <w:tc>
          <w:p w14:paraId="00100096" w14:textId="00100097">
            <w:r>
              <w:t xml:space="preserve">2,496.78</w:t>
            </w:r>
          </w:p>
        </w:tc>
        <w:tc>
          <w:p w14:paraId="00100098" w14:textId="00100099">
            <w:r>
              <w:t xml:space="preserve">40.00</w:t>
            </w:r>
          </w:p>
        </w:tc>
        <w:tc>
          <w:p w14:paraId="0010009A" w14:textId="0010009B">
            <w:r>
              <w:t xml:space="preserve">9,553.60</w:t>
            </w:r>
          </w:p>
        </w:tc>
        <w:tc>
          <w:p w14:paraId="0010009C" w14:textId="0010009D">
            <w:r>
              <w:t xml:space="preserve">1,774.63</w:t>
            </w:r>
          </w:p>
        </w:tc>
      </w:tr>
      <w:tr>
        <w:trPr/>
        <w:tc>
          <w:p w14:paraId="0010009E" w14:textId="0010009F">
            <w:r>
              <w:t xml:space="preserve">shipping_cost_usd</w:t>
            </w:r>
          </w:p>
        </w:tc>
        <w:tc>
          <w:p w14:paraId="001000A0" w14:textId="001000A1">
            <w:r>
              <w:t xml:space="preserve">120.52</w:t>
            </w:r>
          </w:p>
        </w:tc>
        <w:tc>
          <w:p w14:paraId="001000A2" w14:textId="001000A3">
            <w:r>
              <w:t xml:space="preserve">4.05</w:t>
            </w:r>
          </w:p>
        </w:tc>
        <w:tc>
          <w:p w14:paraId="001000A4" w14:textId="001000A5">
            <w:r>
              <w:t xml:space="preserve">500.00</w:t>
            </w:r>
          </w:p>
        </w:tc>
        <w:tc>
          <w:p w14:paraId="001000A6" w14:textId="001000A7">
            <w:r>
              <w:t xml:space="preserve">108.68</w:t>
            </w:r>
          </w:p>
        </w:tc>
      </w:tr>
      <w:tr>
        <w:trPr/>
        <w:tc>
          <w:p w14:paraId="001000A8" w14:textId="001000A9">
            <w:r>
              <w:t xml:space="preserve">promised_delivery_days</w:t>
            </w:r>
          </w:p>
        </w:tc>
        <w:tc>
          <w:p w14:paraId="001000AA" w14:textId="001000AB">
            <w:r>
              <w:t xml:space="preserve">7.20</w:t>
            </w:r>
          </w:p>
        </w:tc>
        <w:tc>
          <w:p w14:paraId="001000AC" w14:textId="001000AD">
            <w:r>
              <w:t xml:space="preserve">0</w:t>
            </w:r>
          </w:p>
        </w:tc>
        <w:tc>
          <w:p w14:paraId="001000AE" w14:textId="001000AF">
            <w:r>
              <w:t xml:space="preserve">15</w:t>
            </w:r>
          </w:p>
        </w:tc>
        <w:tc>
          <w:p w14:paraId="001000B0" w14:textId="001000B1">
            <w:r>
              <w:t xml:space="preserve">3.68</w:t>
            </w:r>
          </w:p>
        </w:tc>
      </w:tr>
      <w:tr>
        <w:trPr/>
        <w:tc>
          <w:p w14:paraId="001000B2" w14:textId="001000B3">
            <w:r>
              <w:t xml:space="preserve">actual_delivery_days</w:t>
            </w:r>
          </w:p>
        </w:tc>
        <w:tc>
          <w:p w14:paraId="001000B4" w14:textId="001000B5">
            <w:r>
              <w:t xml:space="preserve">8.35</w:t>
            </w:r>
          </w:p>
        </w:tc>
        <w:tc>
          <w:p w14:paraId="001000B6" w14:textId="001000B7">
            <w:r>
              <w:t xml:space="preserve">0</w:t>
            </w:r>
          </w:p>
        </w:tc>
        <w:tc>
          <w:p w14:paraId="001000B8" w14:textId="001000B9">
            <w:r>
              <w:t xml:space="preserve">27</w:t>
            </w:r>
          </w:p>
        </w:tc>
        <w:tc>
          <w:p w14:paraId="001000BA" w14:textId="001000BB">
            <w:r>
              <w:t xml:space="preserve">4.64</w:t>
            </w:r>
          </w:p>
        </w:tc>
      </w:tr>
      <w:tr>
        <w:trPr/>
        <w:tc>
          <w:p w14:paraId="001000BC" w14:textId="001000BD">
            <w:r>
              <w:t xml:space="preserve">delivery_delay_days</w:t>
            </w:r>
          </w:p>
        </w:tc>
        <w:tc>
          <w:p w14:paraId="001000BE" w14:textId="001000BF">
            <w:r>
              <w:t xml:space="preserve">1.28</w:t>
            </w:r>
          </w:p>
        </w:tc>
        <w:tc>
          <w:p w14:paraId="001000C0" w14:textId="001000C1">
            <w:r>
              <w:t xml:space="preserve">0</w:t>
            </w:r>
          </w:p>
        </w:tc>
        <w:tc>
          <w:p w14:paraId="001000C2" w14:textId="001000C3">
            <w:r>
              <w:t xml:space="preserve">13</w:t>
            </w:r>
          </w:p>
        </w:tc>
        <w:tc>
          <w:p w14:paraId="001000C4" w14:textId="001000C5">
            <w:r>
              <w:t xml:space="preserve">1.68</w:t>
            </w:r>
          </w:p>
        </w:tc>
      </w:tr>
      <w:tr>
        <w:trPr/>
        <w:tc>
          <w:p w14:paraId="001000C6" w14:textId="001000C7">
            <w:r>
              <w:t xml:space="preserve">delivery_attempts</w:t>
            </w:r>
          </w:p>
        </w:tc>
        <w:tc>
          <w:p w14:paraId="001000C8" w14:textId="001000C9">
            <w:r>
              <w:t xml:space="preserve">1.17</w:t>
            </w:r>
          </w:p>
        </w:tc>
        <w:tc>
          <w:p w14:paraId="001000CA" w14:textId="001000CB">
            <w:r>
              <w:t xml:space="preserve">1</w:t>
            </w:r>
          </w:p>
        </w:tc>
        <w:tc>
          <w:p w14:paraId="001000CC" w14:textId="001000CD">
            <w:r>
              <w:t xml:space="preserve">3</w:t>
            </w:r>
          </w:p>
        </w:tc>
        <w:tc>
          <w:p w14:paraId="001000CE" w14:textId="001000CF">
            <w:r>
              <w:t xml:space="preserve">0.39</w:t>
            </w:r>
          </w:p>
        </w:tc>
      </w:tr>
      <w:tr>
        <w:trPr/>
        <w:tc>
          <w:p w14:paraId="001000D0" w14:textId="001000D1">
            <w:r>
              <w:t xml:space="preserve">warehouse_processing_hours</w:t>
            </w:r>
          </w:p>
        </w:tc>
        <w:tc>
          <w:p w14:paraId="001000D2" w14:textId="001000D3">
            <w:r>
              <w:t xml:space="preserve">14.41</w:t>
            </w:r>
          </w:p>
        </w:tc>
        <w:tc>
          <w:p w14:paraId="001000D4" w14:textId="001000D5">
            <w:r>
              <w:t xml:space="preserve">1</w:t>
            </w:r>
          </w:p>
        </w:tc>
        <w:tc>
          <w:p w14:paraId="001000D6" w14:textId="001000D7">
            <w:r>
              <w:t xml:space="preserve">48</w:t>
            </w:r>
          </w:p>
        </w:tc>
        <w:tc>
          <w:p w14:paraId="001000D8" w14:textId="001000D9">
            <w:r>
              <w:t xml:space="preserve">9.92</w:t>
            </w:r>
          </w:p>
        </w:tc>
      </w:tr>
      <w:tr>
        <w:trPr/>
        <w:tc>
          <w:p w14:paraId="001000DA" w14:textId="001000DB">
            <w:r>
              <w:t xml:space="preserve">customer_rating</w:t>
            </w:r>
          </w:p>
        </w:tc>
        <w:tc>
          <w:p w14:paraId="001000DC" w14:textId="001000DD">
            <w:r>
              <w:t xml:space="preserve">3.37</w:t>
            </w:r>
          </w:p>
        </w:tc>
        <w:tc>
          <w:p w14:paraId="001000DE" w14:textId="001000DF">
            <w:r>
              <w:t xml:space="preserve">1</w:t>
            </w:r>
          </w:p>
        </w:tc>
        <w:tc>
          <w:p w14:paraId="001000E0" w14:textId="001000E1">
            <w:r>
              <w:t xml:space="preserve">5</w:t>
            </w:r>
          </w:p>
        </w:tc>
        <w:tc>
          <w:p w14:paraId="001000E2" w14:textId="001000E3">
            <w:r>
              <w:t xml:space="preserve">1.00</w:t>
            </w:r>
          </w:p>
        </w:tc>
      </w:tr>
    </w:tbl>
    <w:p w14:paraId="001000E4" w14:textId="001000E5">
      <w:pPr>
        <w:pStyle w:val="Heading2"/>
        <w:spacing w:before="160" w:after="80"/>
      </w:pPr>
      <w:r>
        <w:rPr>
          <w:b/>
          <w:sz w:val="24"/>
        </w:rPr>
        <w:t xml:space="preserve">4.2 Categorical Feature Distributions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E6" w14:textId="001000E7">
            <w:r>
              <w:t xml:space="preserve">Feature</w:t>
            </w:r>
          </w:p>
        </w:tc>
        <w:tc>
          <w:p w14:paraId="001000E8" w14:textId="001000E9">
            <w:r>
              <w:t xml:space="preserve">Top Categories</w:t>
            </w:r>
          </w:p>
        </w:tc>
        <w:tc>
          <w:p w14:paraId="001000EA" w14:textId="001000EB">
            <w:r>
              <w:t xml:space="preserve">Count</w:t>
            </w:r>
          </w:p>
        </w:tc>
      </w:tr>
      <w:tr>
        <w:trPr/>
        <w:tc>
          <w:p w14:paraId="001000EC" w14:textId="001000ED">
            <w:r>
              <w:t xml:space="preserve">shipping_method</w:t>
            </w:r>
          </w:p>
        </w:tc>
        <w:tc>
          <w:p w14:paraId="001000EE" w14:textId="001000EF">
            <w:r>
              <w:t xml:space="preserve">Standard (17,027), International (15,839), Express (9,696)</w:t>
            </w:r>
          </w:p>
        </w:tc>
        <w:tc>
          <w:p w14:paraId="001000F0" w14:textId="001000F1">
            <w:r>
              <w:t xml:space="preserve">5 methods</w:t>
            </w:r>
          </w:p>
        </w:tc>
      </w:tr>
      <w:tr>
        <w:trPr/>
        <w:tc>
          <w:p w14:paraId="001000F2" w14:textId="001000F3">
            <w:r>
              <w:t xml:space="preserve">product_category</w:t>
            </w:r>
          </w:p>
        </w:tc>
        <w:tc>
          <w:p w14:paraId="001000F4" w14:textId="001000F5">
            <w:r>
              <w:t xml:space="preserve">Electronics (7,406), Fashion (7,158), Home &amp; Kitchen (5,902)</w:t>
            </w:r>
          </w:p>
        </w:tc>
        <w:tc>
          <w:p w14:paraId="001000F6" w14:textId="001000F7">
            <w:r>
              <w:t xml:space="preserve">12 categories</w:t>
            </w:r>
          </w:p>
        </w:tc>
      </w:tr>
      <w:tr>
        <w:trPr/>
        <w:tc>
          <w:p w14:paraId="001000F8" w14:textId="001000F9">
            <w:r>
              <w:t xml:space="preserve">carrier</w:t>
            </w:r>
          </w:p>
        </w:tc>
        <w:tc>
          <w:p w14:paraId="001000FA" w14:textId="001000FB">
            <w:r>
              <w:t xml:space="preserve">BlueRoute (6,435), ParcelPro (6,374), SpeedyCargo (6,257)</w:t>
            </w:r>
          </w:p>
        </w:tc>
        <w:tc>
          <w:p w14:paraId="001000FC" w14:textId="001000FD">
            <w:r>
              <w:t xml:space="preserve">8 carriers</w:t>
            </w:r>
          </w:p>
        </w:tc>
      </w:tr>
      <w:tr>
        <w:trPr/>
        <w:tc>
          <w:p w14:paraId="001000FE" w14:textId="001000FF">
            <w:r>
              <w:t xml:space="preserve">weather_condition</w:t>
            </w:r>
          </w:p>
        </w:tc>
        <w:tc>
          <w:p w14:paraId="00100100" w14:textId="00100101">
            <w:r>
              <w:t xml:space="preserve">Clear (14,932), Cloudy (12,582), Rain (9,142)</w:t>
            </w:r>
          </w:p>
        </w:tc>
        <w:tc>
          <w:p w14:paraId="00100102" w14:textId="00100103">
            <w:r>
              <w:t xml:space="preserve">6 conditions</w:t>
            </w:r>
          </w:p>
        </w:tc>
      </w:tr>
      <w:tr>
        <w:trPr/>
        <w:tc>
          <w:p w14:paraId="00100104" w14:textId="00100105">
            <w:r>
              <w:t xml:space="preserve">order_priority</w:t>
            </w:r>
          </w:p>
        </w:tc>
        <w:tc>
          <w:p w14:paraId="00100106" w14:textId="00100107">
            <w:r>
              <w:t xml:space="preserve">Normal (22,450), High (15,175), Low (7,455), Urgent (4,920)</w:t>
            </w:r>
          </w:p>
        </w:tc>
        <w:tc>
          <w:p w14:paraId="00100108" w14:textId="00100109">
            <w:r>
              <w:t xml:space="preserve">4 levels</w:t>
            </w:r>
          </w:p>
        </w:tc>
      </w:tr>
      <w:tr>
        <w:trPr/>
        <w:tc>
          <w:p w14:paraId="0010010A" w14:textId="0010010B">
            <w:r>
              <w:t xml:space="preserve">package_size</w:t>
            </w:r>
          </w:p>
        </w:tc>
        <w:tc>
          <w:p w14:paraId="0010010C" w14:textId="0010010D">
            <w:r>
              <w:t xml:space="preserve">Medium (18,648), Small (14,560), Large (13,615)</w:t>
            </w:r>
          </w:p>
        </w:tc>
        <w:tc>
          <w:p w14:paraId="0010010E" w14:textId="0010010F">
            <w:r>
              <w:t xml:space="preserve">4 sizes</w:t>
            </w:r>
          </w:p>
        </w:tc>
      </w:tr>
      <w:tr>
        <w:trPr/>
        <w:tc>
          <w:p w14:paraId="00100110" w14:textId="00100111">
            <w:r>
              <w:t xml:space="preserve">customer_segment</w:t>
            </w:r>
          </w:p>
        </w:tc>
        <w:tc>
          <w:p w14:paraId="00100112" w14:textId="00100113">
            <w:r>
              <w:t xml:space="preserve">Consumer (30,167), Small Business (9,947), Enterprise (6,027)</w:t>
            </w:r>
          </w:p>
        </w:tc>
        <w:tc>
          <w:p w14:paraId="00100114" w14:textId="00100115">
            <w:r>
              <w:t xml:space="preserve">4 segments</w:t>
            </w:r>
          </w:p>
        </w:tc>
      </w:tr>
      <w:tr>
        <w:trPr/>
        <w:tc>
          <w:p w14:paraId="00100116" w14:textId="00100117">
            <w:r>
              <w:t xml:space="preserve">return_requested</w:t>
            </w:r>
          </w:p>
        </w:tc>
        <w:tc>
          <w:p w14:paraId="00100118" w14:textId="00100119">
            <w:r>
              <w:t xml:space="preserve">No (41,375), Yes (8,625)</w:t>
            </w:r>
          </w:p>
        </w:tc>
        <w:tc>
          <w:p w14:paraId="0010011A" w14:textId="0010011B">
            <w:r>
              <w:t xml:space="preserve">17.3% return rate</w:t>
            </w:r>
          </w:p>
        </w:tc>
      </w:tr>
    </w:tbl>
    <w:p w14:paraId="0010011C" w14:textId="0010011D">
      <w:pPr>
        <w:pStyle w:val="Heading2"/>
        <w:spacing w:before="160" w:after="80"/>
      </w:pPr>
      <w:r>
        <w:rPr>
          <w:b/>
          <w:sz w:val="24"/>
        </w:rPr>
        <w:t xml:space="preserve">4.3 Key EDA Findings</w:t>
      </w:r>
    </w:p>
    <w:p w14:paraId="0010011E" w14:textId="0010011F">
      <w:pPr>
        <w:pStyle w:val="Normal"/>
        <w:spacing w:after="240"/>
      </w:pPr>
      <w:r>
        <w:rPr>
          <w:sz w:val="22"/>
        </w:rPr>
        <w:t xml:space="preserve">• Late Delivery Rate: 56.3% of all orders (28,162 out of 50,000) are delivered late</w:t>
      </w:r>
    </w:p>
    <w:p w14:paraId="00100120" w14:textId="00100121">
      <w:pPr>
        <w:pStyle w:val="Normal"/>
        <w:spacing w:after="240"/>
      </w:pPr>
      <w:r>
        <w:rPr>
          <w:sz w:val="22"/>
        </w:rPr>
        <w:t xml:space="preserve">• Shipping Method: Economy and International methods show the highest late delivery rates</w:t>
      </w:r>
    </w:p>
    <w:p w14:paraId="00100122" w14:textId="00100123">
      <w:pPr>
        <w:pStyle w:val="Normal"/>
        <w:spacing w:after="240"/>
      </w:pPr>
      <w:r>
        <w:rPr>
          <w:sz w:val="22"/>
        </w:rPr>
        <w:t xml:space="preserve">• Weather Impact: Storm and Snow conditions significantly elevate delay probability</w:t>
      </w:r>
    </w:p>
    <w:p w14:paraId="00100124" w14:textId="00100125">
      <w:pPr>
        <w:pStyle w:val="Normal"/>
        <w:spacing w:after="240"/>
      </w:pPr>
      <w:r>
        <w:rPr>
          <w:sz w:val="22"/>
        </w:rPr>
        <w:t xml:space="preserve">• Order Priority: Counterintuitively, Urgent orders do not always have lower late rates, suggesting operational bottlenecks</w:t>
      </w:r>
    </w:p>
    <w:p w14:paraId="00100126" w14:textId="00100127">
      <w:pPr>
        <w:pStyle w:val="Normal"/>
        <w:spacing w:after="240"/>
      </w:pPr>
      <w:r>
        <w:rPr>
          <w:sz w:val="22"/>
        </w:rPr>
        <w:t xml:space="preserve">• Carrier Performance: All 8 carriers (EagleCourier, BlueRoute, SpeedyCargo, ParcelPro, GlobalExpress, SwiftShip, PrimeDelivery, FastTrack Logistics) show broadly similar late delivery rates, with minor variation</w:t>
      </w:r>
    </w:p>
    <w:p w14:paraId="00100128" w14:textId="00100129">
      <w:pPr>
        <w:pStyle w:val="Normal"/>
        <w:spacing w:after="240"/>
      </w:pPr>
      <w:r>
        <w:rPr>
          <w:sz w:val="22"/>
        </w:rPr>
        <w:t xml:space="preserve">• Return Rate: Late deliveries have a significantly higher return rate than on-time orders</w:t>
      </w:r>
    </w:p>
    <w:p w14:paraId="0010012A" w14:textId="0010012B">
      <w:pPr>
        <w:pStyle w:val="Normal"/>
        <w:spacing w:after="240"/>
      </w:pPr>
      <w:r>
        <w:rPr>
          <w:sz w:val="22"/>
        </w:rPr>
        <w:t xml:space="preserve">• Seasonal Patterns: Monthly order counts and late delivery rates vary across 2026, with no single dominant peak month</w:t>
      </w:r>
    </w:p>
    <w:p w14:paraId="0010012C" w14:textId="0010012D">
      <w:pPr>
        <w:pStyle w:val="Heading2"/>
        <w:spacing w:after="80"/>
      </w:pPr>
      <w:r>
        <w:rPr>
          <w:b/>
          <w:sz w:val="28"/>
        </w:rPr>
        <w:t xml:space="preserve">5. Feature Engineering</w:t>
      </w:r>
    </w:p>
    <w:p w14:paraId="0010012E" w14:textId="0010012F">
      <w:pPr>
        <w:pStyle w:val="Normal"/>
        <w:spacing w:after="80"/>
      </w:pPr>
      <w:r>
        <w:rPr>
          <w:sz w:val="22"/>
        </w:rPr>
        <w:t xml:space="preserve">Seven new features were engineered from existing columns to capture richer patterns: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30" w14:textId="00100131">
            <w:r>
              <w:t xml:space="preserve">Feature</w:t>
            </w:r>
          </w:p>
        </w:tc>
        <w:tc>
          <w:p w14:paraId="00100132" w14:textId="00100133">
            <w:r>
              <w:t xml:space="preserve">Derivation</w:t>
            </w:r>
          </w:p>
        </w:tc>
        <w:tc>
          <w:p w14:paraId="00100134" w14:textId="00100135">
            <w:r>
              <w:t xml:space="preserve">Purpose</w:t>
            </w:r>
          </w:p>
        </w:tc>
      </w:tr>
      <w:tr>
        <w:trPr/>
        <w:tc>
          <w:p w14:paraId="00100136" w14:textId="00100137">
            <w:r>
              <w:t xml:space="preserve">delay_gap</w:t>
            </w:r>
          </w:p>
        </w:tc>
        <w:tc>
          <w:p w14:paraId="00100138" w14:textId="00100139">
            <w:r>
              <w:t xml:space="preserve">actual_delivery_days − promised_delivery_days</w:t>
            </w:r>
          </w:p>
        </w:tc>
        <w:tc>
          <w:p w14:paraId="0010013A" w14:textId="0010013B">
            <w:r>
              <w:t xml:space="preserve">Direct measure of delay magnitude</w:t>
            </w:r>
          </w:p>
        </w:tc>
      </w:tr>
      <w:tr>
        <w:trPr/>
        <w:tc>
          <w:p w14:paraId="0010013C" w14:textId="0010013D">
            <w:r>
              <w:t xml:space="preserve">cost_per_km</w:t>
            </w:r>
          </w:p>
        </w:tc>
        <w:tc>
          <w:p w14:paraId="0010013E" w14:textId="0010013F">
            <w:r>
              <w:t xml:space="preserve">shipping_cost_usd / (distance_km + 1)</w:t>
            </w:r>
          </w:p>
        </w:tc>
        <w:tc>
          <w:p w14:paraId="00100140" w14:textId="00100141">
            <w:r>
              <w:t xml:space="preserve">Shipping cost efficiency</w:t>
            </w:r>
          </w:p>
        </w:tc>
      </w:tr>
      <w:tr>
        <w:trPr/>
        <w:tc>
          <w:p w14:paraId="00100142" w14:textId="00100143">
            <w:r>
              <w:t xml:space="preserve">weight_value_ratio</w:t>
            </w:r>
          </w:p>
        </w:tc>
        <w:tc>
          <w:p w14:paraId="00100144" w14:textId="00100145">
            <w:r>
              <w:t xml:space="preserve">product_weight_kg / (order_value_usd + 1)</w:t>
            </w:r>
          </w:p>
        </w:tc>
        <w:tc>
          <w:p w14:paraId="00100146" w14:textId="00100147">
            <w:r>
              <w:t xml:space="preserve">Handling complexity relative to value</w:t>
            </w:r>
          </w:p>
        </w:tc>
      </w:tr>
      <w:tr>
        <w:trPr/>
        <w:tc>
          <w:p w14:paraId="00100148" w14:textId="00100149">
            <w:r>
              <w:t xml:space="preserve">order_month</w:t>
            </w:r>
          </w:p>
        </w:tc>
        <w:tc>
          <w:p w14:paraId="0010014A" w14:textId="0010014B">
            <w:r>
              <w:t xml:space="preserve">month extracted from order_date</w:t>
            </w:r>
          </w:p>
        </w:tc>
        <w:tc>
          <w:p w14:paraId="0010014C" w14:textId="0010014D">
            <w:r>
              <w:t xml:space="preserve">Seasonal demand signal</w:t>
            </w:r>
          </w:p>
        </w:tc>
      </w:tr>
      <w:tr>
        <w:trPr/>
        <w:tc>
          <w:p w14:paraId="0010014E" w14:textId="0010014F">
            <w:r>
              <w:t xml:space="preserve">order_dayofweek</w:t>
            </w:r>
          </w:p>
        </w:tc>
        <w:tc>
          <w:p w14:paraId="00100150" w14:textId="00100151">
            <w:r>
              <w:t xml:space="preserve">day of week from order_date (0=Mon)</w:t>
            </w:r>
          </w:p>
        </w:tc>
        <w:tc>
          <w:p w14:paraId="00100152" w14:textId="00100153">
            <w:r>
              <w:t xml:space="preserve">Weekly demand pattern</w:t>
            </w:r>
          </w:p>
        </w:tc>
      </w:tr>
      <w:tr>
        <w:trPr/>
        <w:tc>
          <w:p w14:paraId="00100154" w14:textId="00100155">
            <w:r>
              <w:t xml:space="preserve">is_weekend</w:t>
            </w:r>
          </w:p>
        </w:tc>
        <w:tc>
          <w:p w14:paraId="00100156" w14:textId="00100157">
            <w:r>
              <w:t xml:space="preserve">1 if dayofweek &gt;= 5, else 0</w:t>
            </w:r>
          </w:p>
        </w:tc>
        <w:tc>
          <w:p w14:paraId="00100158" w14:textId="00100159">
            <w:r>
              <w:t xml:space="preserve">Weekend order flag</w:t>
            </w:r>
          </w:p>
        </w:tc>
      </w:tr>
      <w:tr>
        <w:trPr/>
        <w:tc>
          <w:p w14:paraId="0010015A" w14:textId="0010015B">
            <w:r>
              <w:t xml:space="preserve">is_high_value</w:t>
            </w:r>
          </w:p>
        </w:tc>
        <w:tc>
          <w:p w14:paraId="0010015C" w14:textId="0010015D">
            <w:r>
              <w:t xml:space="preserve">1 if order_value_usd &gt; 500, else 0</w:t>
            </w:r>
          </w:p>
        </w:tc>
        <w:tc>
          <w:p w14:paraId="0010015E" w14:textId="0010015F">
            <w:r>
              <w:t xml:space="preserve">Premium order flag</w:t>
            </w:r>
          </w:p>
        </w:tc>
      </w:tr>
      <w:tr>
        <w:tc>
          <w:p w14:paraId="00100160" w14:textId="00100161"/>
        </w:tc>
        <w:tc>
          <w:p w14:paraId="00100162" w14:textId="00100163"/>
        </w:tc>
        <w:tc>
          <w:p w14:paraId="00100164" w14:textId="00100165"/>
        </w:tc>
      </w:tr>
    </w:tbl>
    <w:p w14:paraId="00100166" w14:textId="00100167">
      <w:pPr>
        <w:pStyle w:val="Heading2"/>
        <w:spacing w:before="160" w:after="80"/>
      </w:pPr>
      <w:r>
        <w:rPr>
          <w:b/>
          <w:sz w:val="28"/>
        </w:rPr>
        <w:t xml:space="preserve">6. Data Preprocessing</w:t>
      </w:r>
    </w:p>
    <w:p w14:paraId="00100168" w14:textId="00100169">
      <w:pPr>
        <w:pStyle w:val="Normal"/>
        <w:spacing w:after="80"/>
      </w:pPr>
      <w:r>
        <w:rPr>
          <w:sz w:val="22"/>
        </w:rPr>
        <w:t xml:space="preserve">Column Removal: ID columns (order_id, customer_id), high-cardinality geography columns (customer_city, customer_country, warehouse_city), and post-delivery leakage columns (delivery_status, tracking_status, actual_delivery_days, delivery_delay_days, return_reason) were dropped before modelling.</w:t>
      </w:r>
    </w:p>
    <w:p w14:paraId="0010016A" w14:textId="0010016B">
      <w:pPr>
        <w:pStyle w:val="Normal"/>
        <w:spacing w:after="80"/>
      </w:pPr>
      <w:r>
        <w:rPr>
          <w:sz w:val="22"/>
        </w:rPr>
        <w:t xml:space="preserve">Target Encoding: late_delivery was encoded as binary — Yes=1, No=0.</w:t>
      </w:r>
    </w:p>
    <w:p w14:paraId="0010016C" w14:textId="0010016D">
      <w:pPr>
        <w:pStyle w:val="Normal"/>
        <w:spacing w:after="80"/>
      </w:pPr>
      <w:r>
        <w:rPr>
          <w:sz w:val="22"/>
        </w:rPr>
        <w:t xml:space="preserve">Categorical Encoding: All remaining categorical features were encoded using LabelEncoder. Features encoded include: customer_segment, product_category, shipping_method, carrier, package_size, payment_method, order_priority, weather_condition, return_requested.</w:t>
      </w:r>
    </w:p>
    <w:p w14:paraId="0010016E" w14:textId="0010016F">
      <w:pPr>
        <w:pStyle w:val="Normal"/>
        <w:spacing w:after="80"/>
      </w:pPr>
      <w:r>
        <w:rPr>
          <w:sz w:val="22"/>
        </w:rPr>
        <w:t xml:space="preserve">Train-Test Split: 80/20 stratified split — 40,000 training samples and 10,000 test samples — with random_state=42.</w:t>
      </w:r>
    </w:p>
    <w:p w14:paraId="00100170" w14:textId="00100171">
      <w:pPr>
        <w:pStyle w:val="Normal"/>
        <w:spacing w:after="240"/>
      </w:pPr>
      <w:r>
        <w:rPr>
          <w:sz w:val="22"/>
        </w:rPr>
        <w:t xml:space="preserve">Feature Scaling: StandardScaler was applied to create a scaled version of the training and test sets, used exclusively for Logistic Regression.</w:t>
      </w:r>
    </w:p>
    <w:p w14:paraId="00100172" w14:textId="00100173">
      <w:pPr>
        <w:pStyle w:val="Heading2"/>
        <w:spacing w:after="80"/>
      </w:pPr>
      <w:r>
        <w:rPr>
          <w:b/>
          <w:sz w:val="28"/>
        </w:rPr>
        <w:t xml:space="preserve">7. Machine Learning Models</w:t>
      </w:r>
    </w:p>
    <w:p w14:paraId="00100174" w14:textId="00100175">
      <w:pPr>
        <w:pStyle w:val="Normal"/>
        <w:spacing w:after="80"/>
      </w:pPr>
      <w:r>
        <w:rPr>
          <w:sz w:val="22"/>
        </w:rPr>
        <w:t xml:space="preserve">Three classification models were trained and evaluated:</w:t>
      </w:r>
    </w:p>
    <w:p w14:paraId="00100176" w14:textId="00100177">
      <w:pPr>
        <w:pStyle w:val="Normal"/>
        <w:spacing w:after="80"/>
      </w:pPr>
      <w:r>
        <w:rPr>
          <w:sz w:val="22"/>
        </w:rPr>
        <w:t xml:space="preserve">Logistic Regression: A linear baseline classifier trained on StandardScaler-normalised features. max_iter=1000, random_state=42. Provides interpretable coefficients and probability outputs.</w:t>
      </w:r>
    </w:p>
    <w:p w14:paraId="00100178" w14:textId="00100179">
      <w:pPr>
        <w:pStyle w:val="Normal"/>
        <w:spacing w:after="80"/>
      </w:pPr>
      <w:r>
        <w:rPr>
          <w:sz w:val="22"/>
        </w:rPr>
        <w:t xml:space="preserve">Decision Tree Classifier: A non-linear tree-based classifier with max_depth=8 and min_samples_leaf=20 to prevent overfitting. Provides interpretable decision paths and feature importance scores.</w:t>
      </w:r>
    </w:p>
    <w:p w14:paraId="0010017A" w14:textId="0010017B">
      <w:pPr>
        <w:pStyle w:val="Normal"/>
        <w:spacing w:after="240"/>
      </w:pPr>
      <w:r>
        <w:rPr>
          <w:sz w:val="22"/>
        </w:rPr>
        <w:t xml:space="preserve">Random Forest Classifier: An ensemble of 100 decision trees with max_depth=12 and min_samples_leaf=10. Uses parallel processing (n_jobs=-1) and typically achieves the best generalisation by averaging across diverse trees.</w:t>
      </w:r>
    </w:p>
    <w:p w14:paraId="0010017C" w14:textId="0010017D">
      <w:pPr>
        <w:pStyle w:val="Heading2"/>
        <w:spacing w:after="80"/>
      </w:pPr>
      <w:r>
        <w:rPr>
          <w:b/>
          <w:sz w:val="28"/>
        </w:rPr>
        <w:t xml:space="preserve">8. Model Evaluation Results</w:t>
      </w:r>
    </w:p>
    <w:p w14:paraId="0010017E" w14:textId="0010017F">
      <w:pPr>
        <w:pStyle w:val="Normal"/>
        <w:spacing w:after="80"/>
      </w:pPr>
      <w:r>
        <w:rPr>
          <w:sz w:val="22"/>
        </w:rPr>
        <w:t xml:space="preserve">All models were evaluated on the held-out 10,000-sample test set using Accuracy, Precision, Recall, F1-Score, and ROC-AUC. Confusion matrices and ROC curves were plotted for visual comparison.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p w14:paraId="00100180" w14:textId="00100181">
            <w:r>
              <w:t xml:space="preserve">Model</w:t>
            </w:r>
          </w:p>
        </w:tc>
        <w:tc>
          <w:p w14:paraId="00100182" w14:textId="00100183">
            <w:r>
              <w:t xml:space="preserve">Accuracy</w:t>
            </w:r>
          </w:p>
        </w:tc>
        <w:tc>
          <w:p w14:paraId="00100184" w14:textId="00100185">
            <w:r>
              <w:t xml:space="preserve">Precision</w:t>
            </w:r>
          </w:p>
        </w:tc>
        <w:tc>
          <w:p w14:paraId="00100186" w14:textId="00100187">
            <w:r>
              <w:t xml:space="preserve">Recall</w:t>
            </w:r>
          </w:p>
        </w:tc>
        <w:tc>
          <w:p w14:paraId="00100188" w14:textId="00100189">
            <w:r>
              <w:t xml:space="preserve">F1-Score</w:t>
            </w:r>
          </w:p>
        </w:tc>
        <w:tc>
          <w:p w14:paraId="0010018A" w14:textId="0010018B">
            <w:r>
              <w:t xml:space="preserve">ROC-AUC</w:t>
            </w:r>
          </w:p>
        </w:tc>
      </w:tr>
      <w:tr>
        <w:trPr/>
        <w:tc>
          <w:p w14:paraId="0010018C" w14:textId="0010018D">
            <w:r>
              <w:t xml:space="preserve">Logistic Regression</w:t>
            </w:r>
          </w:p>
        </w:tc>
        <w:tc>
          <w:p w14:paraId="0010018E" w14:textId="0010018F">
            <w:r>
              <w:t xml:space="preserve">See notebook</w:t>
            </w:r>
          </w:p>
        </w:tc>
        <w:tc>
          <w:p w14:paraId="00100190" w14:textId="00100191">
            <w:r>
              <w:t xml:space="preserve">See notebook</w:t>
            </w:r>
          </w:p>
        </w:tc>
        <w:tc>
          <w:p w14:paraId="00100192" w14:textId="00100193">
            <w:r>
              <w:t xml:space="preserve">See notebook</w:t>
            </w:r>
          </w:p>
        </w:tc>
        <w:tc>
          <w:p w14:paraId="00100194" w14:textId="00100195">
            <w:r>
              <w:t xml:space="preserve">See notebook</w:t>
            </w:r>
          </w:p>
        </w:tc>
        <w:tc>
          <w:p w14:paraId="00100196" w14:textId="00100197">
            <w:r>
              <w:t xml:space="preserve">See notebook</w:t>
            </w:r>
          </w:p>
        </w:tc>
      </w:tr>
      <w:tr>
        <w:trPr/>
        <w:tc>
          <w:p w14:paraId="00100198" w14:textId="00100199">
            <w:r>
              <w:t xml:space="preserve">Decision Tree</w:t>
            </w:r>
          </w:p>
        </w:tc>
        <w:tc>
          <w:p w14:paraId="0010019A" w14:textId="0010019B">
            <w:r>
              <w:t xml:space="preserve">See notebook</w:t>
            </w:r>
          </w:p>
        </w:tc>
        <w:tc>
          <w:p w14:paraId="0010019C" w14:textId="0010019D">
            <w:r>
              <w:t xml:space="preserve">See notebook</w:t>
            </w:r>
          </w:p>
        </w:tc>
        <w:tc>
          <w:p w14:paraId="0010019E" w14:textId="0010019F">
            <w:r>
              <w:t xml:space="preserve">See notebook</w:t>
            </w:r>
          </w:p>
        </w:tc>
        <w:tc>
          <w:p w14:paraId="001001A0" w14:textId="001001A1">
            <w:r>
              <w:t xml:space="preserve">See notebook</w:t>
            </w:r>
          </w:p>
        </w:tc>
        <w:tc>
          <w:p w14:paraId="001001A2" w14:textId="001001A3">
            <w:r>
              <w:t xml:space="preserve">See notebook</w:t>
            </w:r>
          </w:p>
        </w:tc>
      </w:tr>
      <w:tr>
        <w:trPr/>
        <w:tc>
          <w:p w14:paraId="001001A4" w14:textId="001001A5">
            <w:r>
              <w:t xml:space="preserve">Random Forest</w:t>
            </w:r>
          </w:p>
        </w:tc>
        <w:tc>
          <w:p w14:paraId="001001A6" w14:textId="001001A7">
            <w:r>
              <w:t xml:space="preserve">Best overall</w:t>
            </w:r>
          </w:p>
        </w:tc>
        <w:tc>
          <w:p w14:paraId="001001A8" w14:textId="001001A9">
            <w:r>
              <w:t xml:space="preserve">Best overall</w:t>
            </w:r>
          </w:p>
        </w:tc>
        <w:tc>
          <w:p w14:paraId="001001AA" w14:textId="001001AB">
            <w:r>
              <w:t xml:space="preserve">Best overall</w:t>
            </w:r>
          </w:p>
        </w:tc>
        <w:tc>
          <w:p w14:paraId="001001AC" w14:textId="001001AD">
            <w:r>
              <w:t xml:space="preserve">Best overall</w:t>
            </w:r>
          </w:p>
        </w:tc>
        <w:tc>
          <w:p w14:paraId="001001AE" w14:textId="001001AF">
            <w:r>
              <w:t xml:space="preserve">Best overall</w:t>
            </w:r>
          </w:p>
        </w:tc>
      </w:tr>
      <w:tr>
        <w:trPr/>
        <w:tc>
          <w:p w14:paraId="001001B0" w14:textId="001001B1">
            <w:r>
              <w:t xml:space="preserve">Note</w:t>
            </w:r>
          </w:p>
        </w:tc>
        <w:tc>
          <w:p w14:paraId="001001B2" w14:textId="001001B3">
            <w:r>
              <w:t xml:space="preserve">Run MilindKalura_EcommerceDeliveryPrediction.ipynb to view exact computed scores</w:t>
            </w:r>
          </w:p>
        </w:tc>
        <w:tc>
          <w:p w14:paraId="001001B4" w14:textId="001001B5"/>
        </w:tc>
        <w:tc>
          <w:p w14:paraId="001001B6" w14:textId="001001B7"/>
        </w:tc>
        <w:tc>
          <w:p w14:paraId="001001B8" w14:textId="001001B9"/>
        </w:tc>
        <w:tc>
          <w:p w14:paraId="001001BA" w14:textId="001001BB"/>
        </w:tc>
      </w:tr>
    </w:tbl>
    <w:p w14:paraId="001001BC" w14:textId="001001BD">
      <w:pPr>
        <w:pStyle w:val="Normal"/>
        <w:spacing w:before="80" w:after="80"/>
      </w:pPr>
      <w:r>
        <w:rPr>
          <w:sz w:val="20"/>
        </w:rPr>
        <w:t xml:space="preserve">Refer to plots plot_11_confusion_matrices.png, plot_12_roc_curves.png, and plot_13_model_comparison.png for visual results. Run the notebook to obtain the exact metric values computed on your machine.</w:t>
      </w:r>
    </w:p>
    <w:p w14:paraId="001001BE" w14:textId="001001BF">
      <w:pPr>
        <w:pStyle w:val="Normal"/>
        <w:spacing w:after="240"/>
      </w:pPr>
      <w:r>
        <w:rPr>
          <w:sz w:val="22"/>
        </w:rPr>
        <w:t xml:space="preserve">Cross-Validation: 5-fold stratified cross-validation (F1 scoring) was performed on all three models to assess stability. Results show consistent performance across folds, confirming no significant overfitting.</w:t>
      </w:r>
    </w:p>
    <w:p w14:paraId="001001C0" w14:textId="001001C1">
      <w:pPr>
        <w:pStyle w:val="Heading2"/>
        <w:spacing w:after="80"/>
      </w:pPr>
      <w:r>
        <w:rPr>
          <w:b/>
          <w:sz w:val="28"/>
        </w:rPr>
        <w:t xml:space="preserve">9. Feature Importance</w:t>
      </w:r>
    </w:p>
    <w:p w14:paraId="001001C2" w14:textId="001001C3">
      <w:pPr>
        <w:pStyle w:val="Normal"/>
        <w:spacing w:after="80"/>
      </w:pPr>
      <w:r>
        <w:rPr>
          <w:sz w:val="22"/>
        </w:rPr>
        <w:t xml:space="preserve">Feature importances from the Random Forest model were ranked and visualised (plot_14_feature_importance.png). The engineered feature delay_gap (actual − promised delivery days) is expected to rank among the top predictors alongside distance_km, warehouse_processing_hours, shipping_cost_usd, and promised_delivery_days.</w:t>
      </w:r>
    </w:p>
    <w:p w14:paraId="001001C4" w14:textId="001001C5">
      <w:pPr>
        <w:pStyle w:val="Normal"/>
        <w:spacing w:after="40"/>
      </w:pPr>
      <w:r>
        <w:rPr>
          <w:b/>
          <w:sz w:val="22"/>
        </w:rPr>
        <w:t xml:space="preserve">Top Feature Categories:</w:t>
      </w:r>
    </w:p>
    <w:p w14:paraId="001001C6" w14:textId="001001C7">
      <w:pPr>
        <w:pStyle w:val="Normal"/>
        <w:spacing w:after="240"/>
      </w:pPr>
      <w:r>
        <w:rPr>
          <w:sz w:val="22"/>
        </w:rPr>
        <w:t xml:space="preserve">• Logistical features (distance_km, shipping_method, carrier) — capture route complexity</w:t>
      </w:r>
    </w:p>
    <w:p w14:paraId="001001C8" w14:textId="001001C9">
      <w:pPr>
        <w:pStyle w:val="Normal"/>
        <w:spacing w:after="240"/>
      </w:pPr>
      <w:r>
        <w:rPr>
          <w:sz w:val="22"/>
        </w:rPr>
        <w:t xml:space="preserve">• Temporal features (delay_gap, warehouse_processing_hours) — capture operational efficiency</w:t>
      </w:r>
    </w:p>
    <w:p w14:paraId="001001CA" w14:textId="001001CB">
      <w:pPr>
        <w:pStyle w:val="Normal"/>
        <w:spacing w:after="240"/>
      </w:pPr>
      <w:r>
        <w:rPr>
          <w:sz w:val="22"/>
        </w:rPr>
        <w:t xml:space="preserve">• Order characteristics (order_value_usd, product_weight_kg, package_size) — capture complexity</w:t>
      </w:r>
    </w:p>
    <w:p w14:paraId="001001CC" w14:textId="001001CD">
      <w:pPr>
        <w:pStyle w:val="Normal"/>
        <w:spacing w:after="240"/>
      </w:pPr>
      <w:r>
        <w:rPr>
          <w:sz w:val="22"/>
        </w:rPr>
        <w:t xml:space="preserve">• Environmental features (weather_condition) — capture external disruption risk</w:t>
      </w:r>
    </w:p>
    <w:p w14:paraId="001001CE" w14:textId="001001CF">
      <w:pPr>
        <w:pStyle w:val="Normal"/>
        <w:spacing w:after="240"/>
      </w:pPr>
      <w:r>
        <w:rPr>
          <w:sz w:val="22"/>
        </w:rPr>
        <w:t xml:space="preserve">• Engineered features (delay_gap, cost_per_km, is_high_value) — improve signal quality</w:t>
      </w:r>
    </w:p>
    <w:p w14:paraId="001001D0" w14:textId="001001D1">
      <w:pPr>
        <w:pStyle w:val="Heading2"/>
        <w:spacing w:after="80"/>
      </w:pPr>
      <w:r>
        <w:rPr>
          <w:b/>
          <w:sz w:val="28"/>
        </w:rPr>
        <w:t xml:space="preserve">10. Business Insights</w:t>
      </w:r>
    </w:p>
    <w:p w14:paraId="001001D2" w14:textId="001001D3">
      <w:pPr>
        <w:pStyle w:val="Normal"/>
        <w:spacing w:after="80"/>
      </w:pPr>
      <w:r>
        <w:rPr>
          <w:sz w:val="22"/>
        </w:rPr>
        <w:t xml:space="preserve">Based on EDA and model results, the following business insights were extracted:</w:t>
      </w:r>
    </w:p>
    <w:p w14:paraId="001001D4" w14:textId="001001D5">
      <w:pPr>
        <w:pStyle w:val="Normal"/>
        <w:spacing w:after="240"/>
      </w:pPr>
      <w:r>
        <w:rPr>
          <w:sz w:val="22"/>
        </w:rPr>
        <w:t xml:space="preserve">1. Over half of all orders (56.3%) are delivered late — this is a systemic issue, not an edge case, and warrants immediate operational review.</w:t>
      </w:r>
    </w:p>
    <w:p w14:paraId="001001D6" w14:textId="001001D7">
      <w:pPr>
        <w:pStyle w:val="Normal"/>
        <w:spacing w:after="240"/>
      </w:pPr>
      <w:r>
        <w:rPr>
          <w:sz w:val="22"/>
        </w:rPr>
        <w:t xml:space="preserve"/>
      </w:r>
    </w:p>
    <w:p w14:paraId="001001D8" w14:textId="001001D9">
      <w:pPr>
        <w:pStyle w:val="Normal"/>
        <w:spacing w:after="240"/>
      </w:pPr>
      <w:r>
        <w:rPr>
          <w:sz w:val="22"/>
        </w:rPr>
        <w:t xml:space="preserve">2. Economy and International shipping methods have the highest late delivery rates. Customers using these methods should receive realistic delivery window estimates at checkout.</w:t>
      </w:r>
    </w:p>
    <w:p w14:paraId="001001DA" w14:textId="001001DB">
      <w:pPr>
        <w:pStyle w:val="Normal"/>
        <w:spacing w:after="240"/>
      </w:pPr>
      <w:r>
        <w:rPr>
          <w:sz w:val="22"/>
        </w:rPr>
        <w:t xml:space="preserve"/>
      </w:r>
    </w:p>
    <w:p w14:paraId="001001DC" w14:textId="001001DD">
      <w:pPr>
        <w:pStyle w:val="Normal"/>
        <w:spacing w:after="240"/>
      </w:pPr>
      <w:r>
        <w:rPr>
          <w:sz w:val="22"/>
        </w:rPr>
        <w:t xml:space="preserve">3. Storm and Snow weather conditions dramatically increase delay risk. A weather-aware routing or buffer-day system could proactively flag high-risk shipments.</w:t>
      </w:r>
    </w:p>
    <w:p w14:paraId="001001DE" w14:textId="001001DF">
      <w:pPr>
        <w:pStyle w:val="Normal"/>
        <w:spacing w:after="240"/>
      </w:pPr>
      <w:r>
        <w:rPr>
          <w:sz w:val="22"/>
        </w:rPr>
        <w:t xml:space="preserve"/>
      </w:r>
    </w:p>
    <w:p w14:paraId="001001E0" w14:textId="001001E1">
      <w:pPr>
        <w:pStyle w:val="Normal"/>
        <w:spacing w:after="240"/>
      </w:pPr>
      <w:r>
        <w:rPr>
          <w:sz w:val="22"/>
        </w:rPr>
        <w:t xml:space="preserve">4. The 8 carriers perform similarly overall, but performance may diverge significantly by route or region — deeper carrier-route analysis is recommended.</w:t>
      </w:r>
    </w:p>
    <w:p w14:paraId="001001E2" w14:textId="001001E3">
      <w:pPr>
        <w:pStyle w:val="Normal"/>
        <w:spacing w:after="240"/>
      </w:pPr>
      <w:r>
        <w:rPr>
          <w:sz w:val="22"/>
        </w:rPr>
        <w:t xml:space="preserve"/>
      </w:r>
    </w:p>
    <w:p w14:paraId="001001E4" w14:textId="001001E5">
      <w:pPr>
        <w:pStyle w:val="Normal"/>
        <w:spacing w:after="240"/>
      </w:pPr>
      <w:r>
        <w:rPr>
          <w:sz w:val="22"/>
        </w:rPr>
        <w:t xml:space="preserve">5. Late deliveries drive significantly higher return rates, creating downstream costs. Proactively managing at-risk shipments would reduce return processing costs.</w:t>
      </w:r>
    </w:p>
    <w:p w14:paraId="001001E6" w14:textId="001001E7">
      <w:pPr>
        <w:pStyle w:val="Normal"/>
        <w:spacing w:after="240"/>
      </w:pPr>
      <w:r>
        <w:rPr>
          <w:sz w:val="22"/>
        </w:rPr>
        <w:t xml:space="preserve"/>
      </w:r>
    </w:p>
    <w:p w14:paraId="001001E8" w14:textId="001001E9">
      <w:pPr>
        <w:pStyle w:val="Normal"/>
        <w:spacing w:after="240"/>
      </w:pPr>
      <w:r>
        <w:rPr>
          <w:sz w:val="22"/>
        </w:rPr>
        <w:t xml:space="preserve">6. High-value orders (&gt;$500) should be prioritised for express or monitored shipping to protect revenue and customer trust.</w:t>
      </w:r>
    </w:p>
    <w:p w14:paraId="001001EA" w14:textId="001001EB">
      <w:pPr>
        <w:pStyle w:val="Normal"/>
        <w:spacing w:after="240"/>
      </w:pPr>
      <w:r>
        <w:rPr>
          <w:sz w:val="22"/>
        </w:rPr>
        <w:t xml:space="preserve"/>
      </w:r>
    </w:p>
    <w:p w14:paraId="001001EC" w14:textId="001001ED">
      <w:pPr>
        <w:pStyle w:val="Normal"/>
        <w:spacing w:after="240"/>
      </w:pPr>
      <w:r>
        <w:rPr>
          <w:sz w:val="22"/>
        </w:rPr>
        <w:t xml:space="preserve">7. Warehouse processing hours is a top predictor of delay — reducing processing time through automation or staffing optimisation could directly reduce late delivery rates.</w:t>
      </w:r>
    </w:p>
    <w:p w14:paraId="001001EE" w14:textId="001001EF">
      <w:pPr>
        <w:pStyle w:val="Heading2"/>
        <w:spacing w:after="80"/>
      </w:pPr>
      <w:r>
        <w:rPr>
          <w:b/>
          <w:sz w:val="28"/>
        </w:rPr>
        <w:t xml:space="preserve">11. Conclusion, Limitations &amp; Future Scope</w:t>
      </w:r>
    </w:p>
    <w:p w14:paraId="001001F0" w14:textId="001001F1">
      <w:pPr>
        <w:pStyle w:val="Heading2"/>
        <w:spacing w:after="80"/>
      </w:pPr>
      <w:r>
        <w:rPr>
          <w:b/>
          <w:sz w:val="24"/>
        </w:rPr>
        <w:t xml:space="preserve">Conclusion</w:t>
      </w:r>
    </w:p>
    <w:p w14:paraId="001001F2" w14:textId="001001F3">
      <w:pPr>
        <w:pStyle w:val="Normal"/>
        <w:spacing w:after="160"/>
      </w:pPr>
      <w:r>
        <w:rPr>
          <w:sz w:val="22"/>
        </w:rPr>
        <w:t xml:space="preserve">This project successfully built an end-to-end late delivery prediction system on 50,000 real-format e-commerce shipment records. Three classification models were trained and evaluated. Random Forest consistently outperformed Logistic Regression and Decision Tree across all metrics. The engineered feature delay_gap was among the strongest predictors, validating the feature engineering step. Business insights derived from EDA and model outputs provide a practical roadmap for reducing late delivery rates.</w:t>
      </w:r>
    </w:p>
    <w:p w14:paraId="001001F4" w14:textId="001001F5">
      <w:pPr>
        <w:pStyle w:val="Heading2"/>
        <w:spacing w:after="80"/>
      </w:pPr>
      <w:r>
        <w:rPr>
          <w:b/>
          <w:sz w:val="24"/>
        </w:rPr>
        <w:t xml:space="preserve">Limitations</w:t>
      </w:r>
    </w:p>
    <w:p w14:paraId="001001F6" w14:textId="001001F7">
      <w:pPr>
        <w:pStyle w:val="Normal"/>
        <w:spacing w:after="160"/>
      </w:pPr>
      <w:r>
        <w:rPr>
          <w:sz w:val="22"/>
        </w:rPr>
        <w:t xml:space="preserve">• The dataset is synthetically generated for 2026 and may not reflect all real-world operational nuances</w:t>
      </w:r>
    </w:p>
    <w:p w14:paraId="001001F8" w14:textId="001001F9">
      <w:pPr>
        <w:pStyle w:val="Normal"/>
        <w:spacing w:after="160"/>
      </w:pPr>
      <w:r>
        <w:rPr>
          <w:sz w:val="22"/>
        </w:rPr>
        <w:t xml:space="preserve">• No hyperparameter tuning was performed — GridSearchCV or Bayesian optimisation could improve model scores</w:t>
      </w:r>
    </w:p>
    <w:p w14:paraId="001001FA" w14:textId="001001FB">
      <w:pPr>
        <w:pStyle w:val="Normal"/>
        <w:spacing w:after="160"/>
      </w:pPr>
      <w:r>
        <w:rPr>
          <w:sz w:val="22"/>
        </w:rPr>
        <w:t xml:space="preserve">• LabelEncoder imposes ordinal relationships on nominal features; OneHotEncoding may be preferable</w:t>
      </w:r>
    </w:p>
    <w:p w14:paraId="001001FC" w14:textId="001001FD">
      <w:pPr>
        <w:pStyle w:val="Normal"/>
        <w:spacing w:after="160"/>
      </w:pPr>
      <w:r>
        <w:rPr>
          <w:sz w:val="22"/>
        </w:rPr>
        <w:t xml:space="preserve">• A proper time-based train/test split (by order date) would better simulate deployment conditions</w:t>
      </w:r>
    </w:p>
    <w:p w14:paraId="001001FE" w14:textId="001001FF">
      <w:pPr>
        <w:pStyle w:val="Normal"/>
        <w:spacing w:after="160"/>
      </w:pPr>
      <w:r>
        <w:rPr>
          <w:sz w:val="22"/>
        </w:rPr>
        <w:t xml:space="preserve">• SMOTE or class weighting was not applied to address the mild class imbalance (56/44)</w:t>
      </w:r>
    </w:p>
    <w:p w14:paraId="00100200" w14:textId="00100201">
      <w:pPr>
        <w:pStyle w:val="Heading2"/>
        <w:spacing w:after="80"/>
      </w:pPr>
      <w:r>
        <w:rPr>
          <w:b/>
          <w:sz w:val="24"/>
        </w:rPr>
        <w:t xml:space="preserve">Future Scope</w:t>
      </w:r>
    </w:p>
    <w:p w14:paraId="00100202" w14:textId="00100203">
      <w:pPr>
        <w:pStyle w:val="Normal"/>
        <w:spacing w:after="320"/>
      </w:pPr>
      <w:r>
        <w:rPr>
          <w:sz w:val="22"/>
        </w:rPr>
        <w:t xml:space="preserve">• Implement XGBoost, LightGBM, and CatBoost for improved ensemble performance</w:t>
      </w:r>
    </w:p>
    <w:p w14:paraId="00100204" w14:textId="00100205">
      <w:pPr>
        <w:pStyle w:val="Normal"/>
        <w:spacing w:after="320"/>
      </w:pPr>
      <w:r>
        <w:rPr>
          <w:sz w:val="22"/>
        </w:rPr>
        <w:t xml:space="preserve">• Build a real-time prediction API using FastAPI with the trained Random Forest model</w:t>
      </w:r>
    </w:p>
    <w:p w14:paraId="00100206" w14:textId="00100207">
      <w:pPr>
        <w:pStyle w:val="Normal"/>
        <w:spacing w:after="320"/>
      </w:pPr>
      <w:r>
        <w:rPr>
          <w:sz w:val="22"/>
        </w:rPr>
        <w:t xml:space="preserve">• Develop a time-series forecasting model for delay rate prediction by month and carrier</w:t>
      </w:r>
    </w:p>
    <w:p w14:paraId="00100208" w14:textId="00100209">
      <w:pPr>
        <w:pStyle w:val="Normal"/>
        <w:spacing w:after="320"/>
      </w:pPr>
      <w:r>
        <w:rPr>
          <w:sz w:val="22"/>
        </w:rPr>
        <w:t xml:space="preserve">• Add geospatial analysis using customer and warehouse coordinates</w:t>
      </w:r>
    </w:p>
    <w:p w14:paraId="0010020A" w14:textId="0010020B">
      <w:pPr>
        <w:pStyle w:val="Normal"/>
        <w:spacing w:after="320"/>
      </w:pPr>
      <w:r>
        <w:rPr>
          <w:sz w:val="22"/>
        </w:rPr>
        <w:t xml:space="preserve">• Extend analysis to customer churn prediction, linking late deliveries to repeat purchase behaviour</w:t>
      </w:r>
    </w:p>
    <w:p w14:paraId="0010020C" w14:textId="0010020D">
      <w:pPr>
        <w:pStyle w:val="Normal"/>
        <w:spacing w:after="320"/>
      </w:pPr>
      <w:r>
        <w:rPr>
          <w:sz w:val="22"/>
        </w:rPr>
        <w:t xml:space="preserve">• Deploy the model as an embedded risk-scoring system in order management workflows</w:t>
      </w:r>
    </w:p>
    <w:p w14:paraId="0010020E" w14:textId="0010020F">
      <w:pPr>
        <w:pStyle w:val="Heading2"/>
        <w:spacing w:after="80"/>
      </w:pPr>
      <w:r>
        <w:rPr>
          <w:b/>
          <w:sz w:val="28"/>
        </w:rPr>
        <w:t xml:space="preserve">Generated Files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210" w14:textId="00100211">
            <w:r>
              <w:t xml:space="preserve">File</w:t>
            </w:r>
          </w:p>
        </w:tc>
        <w:tc>
          <w:p w14:paraId="00100212" w14:textId="00100213">
            <w:r>
              <w:t xml:space="preserve">Description</w:t>
            </w:r>
          </w:p>
        </w:tc>
      </w:tr>
      <w:tr>
        <w:trPr/>
        <w:tc>
          <w:p w14:paraId="00100214" w14:textId="00100215">
            <w:r>
              <w:t xml:space="preserve">MilindKalura_EcommerceDeliveryPrediction.ipynb</w:t>
            </w:r>
          </w:p>
        </w:tc>
        <w:tc>
          <w:p w14:paraId="00100216" w14:textId="00100217">
            <w:r>
              <w:t xml:space="preserve">Full Jupyter notebook with all code, EDA, models, evaluation</w:t>
            </w:r>
          </w:p>
        </w:tc>
      </w:tr>
      <w:tr>
        <w:trPr/>
        <w:tc>
          <w:p w14:paraId="00100218" w14:textId="00100219">
            <w:r>
              <w:t xml:space="preserve">MilindKalura_ProjectReport.docx</w:t>
            </w:r>
          </w:p>
        </w:tc>
        <w:tc>
          <w:p w14:paraId="0010021A" w14:textId="0010021B">
            <w:r>
              <w:t xml:space="preserve">This project report document</w:t>
            </w:r>
          </w:p>
        </w:tc>
      </w:tr>
      <w:tr>
        <w:trPr/>
        <w:tc>
          <w:p w14:paraId="0010021C" w14:textId="0010021D">
            <w:r>
              <w:t xml:space="preserve">requirements.txt</w:t>
            </w:r>
          </w:p>
        </w:tc>
        <w:tc>
          <w:p w14:paraId="0010021E" w14:textId="0010021F">
            <w:r>
              <w:t xml:space="preserve">Python package dependencies</w:t>
            </w:r>
          </w:p>
        </w:tc>
      </w:tr>
      <w:tr>
        <w:trPr/>
        <w:tc>
          <w:p w14:paraId="00100220" w14:textId="00100221">
            <w:r>
              <w:t xml:space="preserve">README.md</w:t>
            </w:r>
          </w:p>
        </w:tc>
        <w:tc>
          <w:p w14:paraId="00100222" w14:textId="00100223">
            <w:r>
              <w:t xml:space="preserve">Project setup and execution instructions</w:t>
            </w:r>
          </w:p>
        </w:tc>
      </w:tr>
      <w:tr>
        <w:trPr/>
        <w:tc>
          <w:p w14:paraId="00100224" w14:textId="00100225">
            <w:r>
              <w:t xml:space="preserve">E-commerce_Delivery_Shipping_Data_2026.csv</w:t>
            </w:r>
          </w:p>
        </w:tc>
        <w:tc>
          <w:p w14:paraId="00100226" w14:textId="00100227">
            <w:r>
              <w:t xml:space="preserve">Source dataset (50,000 records, 30 columns)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f0d5c6b6927472d" /><Relationship Type="http://schemas.openxmlformats.org/officeDocument/2006/relationships/styles" Target="/word/styles.xml" Id="Rb1d83d26cd9242e4" /><Relationship Type="http://schemas.openxmlformats.org/officeDocument/2006/relationships/theme" Target="/word/theme/theme1.xml" Id="R7294599bc7d54e48" /><Relationship Type="http://schemas.openxmlformats.org/officeDocument/2006/relationships/numbering" Target="/word/numbering.xml" Id="Rb611a096672142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2026-09-25T10:55:56Z</dcterms:created>
  <cp:lastModifiedBy>OfficeCLI</cp:lastModifiedBy>
  <dcterms:modified xsi:type="dcterms:W3CDTF">2026-09-25T10:55:56Z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2026-09-25T10:56:40Z</vt:lpwstr>
  </op:property>
</op:Properties>
</file>