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413D" w14:textId="7A5D940E" w:rsidR="00DA2D89" w:rsidRDefault="00936432" w:rsidP="00DA2D89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1, 2023</w:t>
      </w:r>
    </w:p>
    <w:p w14:paraId="53F39EF8" w14:textId="77777777" w:rsidR="002D114E" w:rsidRPr="001B297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91BFC5C" w14:textId="77777777" w:rsidR="00CC5685" w:rsidRDefault="00CC5685" w:rsidP="00CC568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41AD40A5" w14:textId="77777777" w:rsidR="00CC5685" w:rsidRDefault="00CC5685" w:rsidP="00CC568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2E95D116" w14:textId="77777777" w:rsidR="00CC5685" w:rsidRDefault="00CC5685" w:rsidP="00CC568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6CDF7041" w14:textId="77777777" w:rsidR="003C664C" w:rsidRPr="001B297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52E24E0C" w14:textId="77777777" w:rsidR="002D114E" w:rsidRPr="001B297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4ED8F382" w14:textId="58EA1D91" w:rsidR="003C664C" w:rsidRPr="001B297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>As required by Assembly Bill 1627 &amp;1045 attached you will find the Charge Description Master, listing of charges for 25 common Out</w:t>
      </w:r>
      <w:r w:rsidR="00E23685" w:rsidRPr="001B297E">
        <w:rPr>
          <w:rFonts w:ascii="Arial" w:hAnsi="Arial" w:cs="Arial"/>
          <w:sz w:val="20"/>
          <w:szCs w:val="20"/>
        </w:rPr>
        <w:t>p</w:t>
      </w:r>
      <w:r w:rsidRPr="001B297E">
        <w:rPr>
          <w:rFonts w:ascii="Arial" w:hAnsi="Arial" w:cs="Arial"/>
          <w:sz w:val="20"/>
          <w:szCs w:val="20"/>
        </w:rPr>
        <w:t xml:space="preserve">atient procedures and supporting documentation of calculation of percentage increase in gross revenue due to rate increases for the following facility: </w:t>
      </w:r>
    </w:p>
    <w:p w14:paraId="74029133" w14:textId="77777777" w:rsidR="003C664C" w:rsidRPr="001B297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ab/>
      </w:r>
    </w:p>
    <w:p w14:paraId="21893C9A" w14:textId="77777777" w:rsidR="00DA2D89" w:rsidRPr="001B297E" w:rsidRDefault="00DA2D89" w:rsidP="00E23685">
      <w:pPr>
        <w:autoSpaceDE w:val="0"/>
        <w:autoSpaceDN w:val="0"/>
        <w:adjustRightInd w:val="0"/>
        <w:spacing w:line="280" w:lineRule="exact"/>
        <w:ind w:left="720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>California Memorial Hospital and Health Center</w:t>
      </w:r>
    </w:p>
    <w:p w14:paraId="28E6A927" w14:textId="77777777" w:rsidR="00DA2D89" w:rsidRPr="001B297E" w:rsidRDefault="00DA2D89" w:rsidP="00E23685">
      <w:pPr>
        <w:autoSpaceDE w:val="0"/>
        <w:autoSpaceDN w:val="0"/>
        <w:adjustRightInd w:val="0"/>
        <w:spacing w:line="280" w:lineRule="exact"/>
        <w:ind w:left="720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>1401 South Grand Avenue</w:t>
      </w:r>
    </w:p>
    <w:p w14:paraId="33F40267" w14:textId="77777777" w:rsidR="00DA2D89" w:rsidRPr="001B297E" w:rsidRDefault="00DA2D89" w:rsidP="00E23685">
      <w:pPr>
        <w:autoSpaceDE w:val="0"/>
        <w:autoSpaceDN w:val="0"/>
        <w:adjustRightInd w:val="0"/>
        <w:spacing w:line="280" w:lineRule="exact"/>
        <w:ind w:left="720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>Los Angeles, Ca. 90015</w:t>
      </w:r>
    </w:p>
    <w:p w14:paraId="330CFCF7" w14:textId="77777777" w:rsidR="002D114E" w:rsidRPr="001B297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4515784" w14:textId="7028BAF3" w:rsidR="003C664C" w:rsidRPr="001B297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>The attached charge master represents “the uniform schedule of charges represented by the hospital as its gross billed charge for a given service or item regardless of payer type”.  The Charge</w:t>
      </w:r>
      <w:r w:rsidR="002D114E" w:rsidRPr="001B297E">
        <w:rPr>
          <w:rFonts w:ascii="Arial" w:hAnsi="Arial" w:cs="Arial"/>
          <w:sz w:val="20"/>
          <w:szCs w:val="20"/>
        </w:rPr>
        <w:t>m</w:t>
      </w:r>
      <w:r w:rsidR="00B15BDD" w:rsidRPr="001B297E">
        <w:rPr>
          <w:rFonts w:ascii="Arial" w:hAnsi="Arial" w:cs="Arial"/>
          <w:sz w:val="20"/>
          <w:szCs w:val="20"/>
        </w:rPr>
        <w:t xml:space="preserve">aster reflects prices as of </w:t>
      </w:r>
      <w:r w:rsidR="00E23685" w:rsidRPr="001B297E">
        <w:rPr>
          <w:rFonts w:ascii="Arial" w:hAnsi="Arial" w:cs="Arial"/>
          <w:sz w:val="20"/>
          <w:szCs w:val="20"/>
        </w:rPr>
        <w:t xml:space="preserve">July </w:t>
      </w:r>
      <w:r w:rsidR="00D20524" w:rsidRPr="001B297E">
        <w:rPr>
          <w:rFonts w:ascii="Arial" w:hAnsi="Arial" w:cs="Arial"/>
          <w:sz w:val="20"/>
          <w:szCs w:val="20"/>
        </w:rPr>
        <w:t xml:space="preserve">1, </w:t>
      </w:r>
      <w:r w:rsidR="00810B57">
        <w:rPr>
          <w:rFonts w:ascii="Arial" w:hAnsi="Arial" w:cs="Arial"/>
          <w:sz w:val="20"/>
          <w:szCs w:val="20"/>
        </w:rPr>
        <w:t>202</w:t>
      </w:r>
      <w:r w:rsidR="00531438">
        <w:rPr>
          <w:rFonts w:ascii="Arial" w:hAnsi="Arial" w:cs="Arial"/>
          <w:sz w:val="20"/>
          <w:szCs w:val="20"/>
        </w:rPr>
        <w:t>3</w:t>
      </w:r>
      <w:r w:rsidRPr="001B297E">
        <w:rPr>
          <w:rFonts w:ascii="Arial" w:hAnsi="Arial" w:cs="Arial"/>
          <w:sz w:val="20"/>
          <w:szCs w:val="20"/>
        </w:rPr>
        <w:t>, the effective date of our yearly rate increase</w:t>
      </w:r>
      <w:r w:rsidR="00E23685" w:rsidRPr="001B297E">
        <w:rPr>
          <w:rFonts w:ascii="Arial" w:hAnsi="Arial" w:cs="Arial"/>
          <w:sz w:val="20"/>
          <w:szCs w:val="20"/>
        </w:rPr>
        <w:t xml:space="preserve"> May 1, </w:t>
      </w:r>
      <w:r w:rsidR="00531438">
        <w:rPr>
          <w:rFonts w:ascii="Arial" w:hAnsi="Arial" w:cs="Arial"/>
          <w:sz w:val="20"/>
          <w:szCs w:val="20"/>
        </w:rPr>
        <w:t>2023</w:t>
      </w:r>
      <w:r w:rsidRPr="001B297E">
        <w:rPr>
          <w:rFonts w:ascii="Arial" w:hAnsi="Arial" w:cs="Arial"/>
          <w:sz w:val="20"/>
          <w:szCs w:val="20"/>
        </w:rPr>
        <w:t xml:space="preserve">, which represents a </w:t>
      </w:r>
      <w:r w:rsidR="00531438">
        <w:rPr>
          <w:rFonts w:ascii="Arial" w:hAnsi="Arial" w:cs="Arial"/>
          <w:sz w:val="20"/>
          <w:szCs w:val="20"/>
        </w:rPr>
        <w:t>7.60</w:t>
      </w:r>
      <w:r w:rsidRPr="001B297E">
        <w:rPr>
          <w:rFonts w:ascii="Arial" w:hAnsi="Arial" w:cs="Arial"/>
          <w:sz w:val="20"/>
          <w:szCs w:val="20"/>
        </w:rPr>
        <w:t xml:space="preserve">% increase from previous year.  </w:t>
      </w:r>
    </w:p>
    <w:p w14:paraId="0F9716E2" w14:textId="77777777" w:rsidR="00B71566" w:rsidRPr="001B297E" w:rsidRDefault="00B71566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CA9011F" w14:textId="77777777" w:rsidR="00E23685" w:rsidRPr="001B297E" w:rsidRDefault="00E23685" w:rsidP="00E2368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1" w:name="_Hlk42426225"/>
      <w:r w:rsidRPr="001B297E">
        <w:rPr>
          <w:rFonts w:ascii="Arial" w:hAnsi="Arial" w:cs="Arial"/>
          <w:sz w:val="20"/>
          <w:szCs w:val="20"/>
        </w:rPr>
        <w:t>Within the Charge Master file, there are items that have a zero price. These items are located in the CDM file by the following indicators:</w:t>
      </w:r>
    </w:p>
    <w:bookmarkEnd w:id="1"/>
    <w:p w14:paraId="7A9CEADC" w14:textId="77777777" w:rsidR="00E23685" w:rsidRPr="001B297E" w:rsidRDefault="00E23685" w:rsidP="00E2368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0EAE9A3" w14:textId="77777777" w:rsidR="00E23685" w:rsidRPr="001B297E" w:rsidRDefault="00E23685" w:rsidP="00E23685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 xml:space="preserve">1) Statistical codes </w:t>
      </w:r>
    </w:p>
    <w:p w14:paraId="7F120BD2" w14:textId="77777777" w:rsidR="00E23685" w:rsidRPr="001B297E" w:rsidRDefault="00E23685" w:rsidP="00E23685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725C6FFF" w14:textId="77777777" w:rsidR="00E23685" w:rsidRPr="001B297E" w:rsidRDefault="00E23685" w:rsidP="00E23685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>3) Misc. codes with price override at time of entry</w:t>
      </w:r>
    </w:p>
    <w:p w14:paraId="5F417B74" w14:textId="77777777" w:rsidR="00E23685" w:rsidRPr="001B297E" w:rsidRDefault="00E23685" w:rsidP="00E23685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>4) Not valid for this site</w:t>
      </w:r>
    </w:p>
    <w:p w14:paraId="6E29E7AE" w14:textId="77777777" w:rsidR="00E23685" w:rsidRPr="001B297E" w:rsidRDefault="00E23685" w:rsidP="00E23685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 xml:space="preserve">   </w:t>
      </w:r>
    </w:p>
    <w:p w14:paraId="2E76132F" w14:textId="77777777" w:rsidR="00810B57" w:rsidRPr="004D6FB2" w:rsidRDefault="00810B57" w:rsidP="00810B57">
      <w:pPr>
        <w:ind w:left="2880"/>
        <w:rPr>
          <w:rFonts w:ascii="Arial" w:eastAsia="Calibri" w:hAnsi="Arial" w:cs="Arial"/>
          <w:sz w:val="20"/>
          <w:szCs w:val="20"/>
        </w:rPr>
      </w:pPr>
    </w:p>
    <w:p w14:paraId="02CAB4D7" w14:textId="77777777" w:rsidR="00810B57" w:rsidRPr="00932FE3" w:rsidRDefault="00810B57" w:rsidP="00810B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35886084" w14:textId="77777777" w:rsidR="00810B57" w:rsidRDefault="00810B57" w:rsidP="00810B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4BEB7B93" w14:textId="77777777" w:rsidR="00810B57" w:rsidRDefault="00810B57" w:rsidP="00810B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23F09C28" w14:textId="77777777" w:rsidR="00810B57" w:rsidRDefault="00810B57" w:rsidP="00810B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3B7B625A" w14:textId="77777777" w:rsidR="006605A6" w:rsidRPr="001B297E" w:rsidRDefault="006605A6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0778DAF5" w14:textId="77777777" w:rsidR="00DA2D89" w:rsidRPr="001B297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i/>
          <w:color w:val="FF0000"/>
          <w:sz w:val="20"/>
          <w:szCs w:val="20"/>
        </w:rPr>
      </w:pPr>
      <w:r w:rsidRPr="001B297E">
        <w:rPr>
          <w:rFonts w:ascii="Arial" w:hAnsi="Arial" w:cs="Arial"/>
          <w:sz w:val="20"/>
          <w:szCs w:val="20"/>
        </w:rPr>
        <w:t>cc:</w:t>
      </w:r>
      <w:r w:rsidRPr="001B297E">
        <w:rPr>
          <w:rFonts w:ascii="Arial" w:hAnsi="Arial" w:cs="Arial"/>
          <w:sz w:val="20"/>
          <w:szCs w:val="20"/>
        </w:rPr>
        <w:tab/>
      </w:r>
    </w:p>
    <w:tbl>
      <w:tblPr>
        <w:tblW w:w="7640" w:type="dxa"/>
        <w:tblInd w:w="93" w:type="dxa"/>
        <w:tblLook w:val="04A0" w:firstRow="1" w:lastRow="0" w:firstColumn="1" w:lastColumn="0" w:noHBand="0" w:noVBand="1"/>
      </w:tblPr>
      <w:tblGrid>
        <w:gridCol w:w="7640"/>
      </w:tblGrid>
      <w:tr w:rsidR="00DA2D89" w:rsidRPr="001B297E" w14:paraId="115E6CEF" w14:textId="77777777" w:rsidTr="006F5022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AEB0" w14:textId="77777777" w:rsidR="00DA2D89" w:rsidRPr="001B297E" w:rsidRDefault="00DA2D89" w:rsidP="006F50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297E">
              <w:rPr>
                <w:rFonts w:ascii="Arial" w:hAnsi="Arial" w:cs="Arial"/>
                <w:color w:val="000000"/>
                <w:sz w:val="20"/>
                <w:szCs w:val="20"/>
              </w:rPr>
              <w:t>Rebecca Cheng, Chief Financial Officer, California Hospital Medical Center</w:t>
            </w:r>
          </w:p>
        </w:tc>
      </w:tr>
    </w:tbl>
    <w:p w14:paraId="6E85BBE0" w14:textId="77777777" w:rsidR="00A11CE0" w:rsidRPr="001B297E" w:rsidRDefault="00A11CE0">
      <w:pPr>
        <w:rPr>
          <w:rFonts w:ascii="Arial" w:hAnsi="Arial" w:cs="Arial"/>
          <w:sz w:val="20"/>
          <w:szCs w:val="20"/>
        </w:rPr>
      </w:pPr>
    </w:p>
    <w:sectPr w:rsidR="00A11CE0" w:rsidRPr="001B297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4ACD"/>
    <w:rsid w:val="00152A22"/>
    <w:rsid w:val="0016217F"/>
    <w:rsid w:val="001902DD"/>
    <w:rsid w:val="00197630"/>
    <w:rsid w:val="001A43A9"/>
    <w:rsid w:val="001B297E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4F4DC4"/>
    <w:rsid w:val="00531438"/>
    <w:rsid w:val="005403F0"/>
    <w:rsid w:val="005644CA"/>
    <w:rsid w:val="005F21B2"/>
    <w:rsid w:val="005F4CE4"/>
    <w:rsid w:val="00610479"/>
    <w:rsid w:val="00612A5D"/>
    <w:rsid w:val="0064584B"/>
    <w:rsid w:val="006605A6"/>
    <w:rsid w:val="00663FD2"/>
    <w:rsid w:val="00690114"/>
    <w:rsid w:val="006A6299"/>
    <w:rsid w:val="006B325F"/>
    <w:rsid w:val="006D0970"/>
    <w:rsid w:val="006D6C0B"/>
    <w:rsid w:val="00700F09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10B57"/>
    <w:rsid w:val="00836D7A"/>
    <w:rsid w:val="00854A5D"/>
    <w:rsid w:val="008555FC"/>
    <w:rsid w:val="00873BBB"/>
    <w:rsid w:val="008A2FBD"/>
    <w:rsid w:val="008C00B1"/>
    <w:rsid w:val="008C3FEC"/>
    <w:rsid w:val="009330EC"/>
    <w:rsid w:val="00936432"/>
    <w:rsid w:val="009401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2B42"/>
    <w:rsid w:val="00AD38D3"/>
    <w:rsid w:val="00AE16F5"/>
    <w:rsid w:val="00AE3482"/>
    <w:rsid w:val="00B15BDD"/>
    <w:rsid w:val="00B23EEE"/>
    <w:rsid w:val="00B71566"/>
    <w:rsid w:val="00BA1972"/>
    <w:rsid w:val="00BB3192"/>
    <w:rsid w:val="00BC1D35"/>
    <w:rsid w:val="00BC218C"/>
    <w:rsid w:val="00BC28A7"/>
    <w:rsid w:val="00C230A4"/>
    <w:rsid w:val="00C439A7"/>
    <w:rsid w:val="00C5382A"/>
    <w:rsid w:val="00C6611B"/>
    <w:rsid w:val="00C82C9A"/>
    <w:rsid w:val="00CC5685"/>
    <w:rsid w:val="00CF3599"/>
    <w:rsid w:val="00D20130"/>
    <w:rsid w:val="00D20524"/>
    <w:rsid w:val="00D2358D"/>
    <w:rsid w:val="00D26251"/>
    <w:rsid w:val="00D418FC"/>
    <w:rsid w:val="00D517D8"/>
    <w:rsid w:val="00D60D64"/>
    <w:rsid w:val="00D63015"/>
    <w:rsid w:val="00DA2D89"/>
    <w:rsid w:val="00DA58D3"/>
    <w:rsid w:val="00DB736A"/>
    <w:rsid w:val="00DC32AB"/>
    <w:rsid w:val="00DC671A"/>
    <w:rsid w:val="00DF2CB7"/>
    <w:rsid w:val="00E056C0"/>
    <w:rsid w:val="00E23685"/>
    <w:rsid w:val="00E32AAC"/>
    <w:rsid w:val="00E54847"/>
    <w:rsid w:val="00E72DE4"/>
    <w:rsid w:val="00E87A1F"/>
    <w:rsid w:val="00E97A62"/>
    <w:rsid w:val="00EC19BF"/>
    <w:rsid w:val="00EC2DCA"/>
    <w:rsid w:val="00ED46A0"/>
    <w:rsid w:val="00ED5CDE"/>
    <w:rsid w:val="00EE5A84"/>
    <w:rsid w:val="00EF25DF"/>
    <w:rsid w:val="00F0527D"/>
    <w:rsid w:val="00F079C1"/>
    <w:rsid w:val="00F12244"/>
    <w:rsid w:val="00F26C69"/>
    <w:rsid w:val="00F530DD"/>
    <w:rsid w:val="00F626FB"/>
    <w:rsid w:val="00F7010F"/>
    <w:rsid w:val="00F97834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9FADB"/>
  <w15:docId w15:val="{AB0A3FBE-62AE-465D-B380-514E2436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5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0B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14</cp:revision>
  <dcterms:created xsi:type="dcterms:W3CDTF">2019-01-10T20:12:00Z</dcterms:created>
  <dcterms:modified xsi:type="dcterms:W3CDTF">2023-06-05T20:22:00Z</dcterms:modified>
</cp:coreProperties>
</file>