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3754" w14:textId="4D5C2BD2" w:rsidR="001E4ACD" w:rsidRDefault="000064F9">
      <w:r>
        <w:t>Estimate percentage changes in the hospital gross revenue during the 12-months period is $0.</w:t>
      </w:r>
    </w:p>
    <w:sectPr w:rsidR="001E4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F9"/>
    <w:rsid w:val="000064F9"/>
    <w:rsid w:val="00152337"/>
    <w:rsid w:val="001E4ACD"/>
    <w:rsid w:val="00AE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9726"/>
  <w15:chartTrackingRefBased/>
  <w15:docId w15:val="{B3152050-E957-4DCD-A300-F25025C6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</dc:creator>
  <cp:keywords/>
  <dc:description/>
  <cp:lastModifiedBy>Lindsey</cp:lastModifiedBy>
  <cp:revision>1</cp:revision>
  <dcterms:created xsi:type="dcterms:W3CDTF">2023-06-23T18:07:00Z</dcterms:created>
  <dcterms:modified xsi:type="dcterms:W3CDTF">2023-06-23T18:08:00Z</dcterms:modified>
</cp:coreProperties>
</file>