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38761d"/>
        </w:rPr>
      </w:pPr>
      <w:bookmarkStart w:colFirst="0" w:colLast="0" w:name="_7jazrk3is4u4" w:id="0"/>
      <w:bookmarkEnd w:id="0"/>
      <w:r w:rsidDel="00000000" w:rsidR="00000000" w:rsidRPr="00000000">
        <w:rPr>
          <w:rtl w:val="0"/>
        </w:rPr>
        <w:t xml:space="preserve">Registre des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v9j3y5zgy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vcl70rjd4o5" w:id="2"/>
      <w:bookmarkEnd w:id="2"/>
      <w:r w:rsidDel="00000000" w:rsidR="00000000" w:rsidRPr="00000000">
        <w:rPr>
          <w:rtl w:val="0"/>
        </w:rPr>
        <w:t xml:space="preserve">Registre des risques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335"/>
        <w:gridCol w:w="960"/>
        <w:gridCol w:w="1425"/>
        <w:gridCol w:w="2640"/>
        <w:tblGridChange w:id="0">
          <w:tblGrid>
            <w:gridCol w:w="2655"/>
            <w:gridCol w:w="1335"/>
            <w:gridCol w:w="960"/>
            <w:gridCol w:w="142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Risque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Probabilité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Impact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Risque pour les patients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Stratégie d'atténuation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système d'intervention d'urgence en temps réel n’est pas adapté aux incidents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Inconnue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Test de performance précoce d'une preuve de concept représentative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système d'intervention d'urgence en temps réel gère la latence concernant la disponibilité des lits des hôpitaux du réseau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Inconnue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Test de performance précoce d'une preuve de concept représentative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système d'intervention d'urgence en temps réel n’offre pas de solution lorsqu'il n'y a pas de lits d’hôpital disponibles pour la spécialisation requise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Inconnue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Attribution à l'hôpital le plus proche disposant de lits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système d'intervention d'urgence en temps réel ne répond pas dans les 200 millisecondes à la demande de lits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Inconnue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Élevé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Validation de principe pour vérifier qu’un paramètre d’« urgence » est en mesure de fournir au système de réponse le nom d’un hôpital disposant d'un lit en moins de 200 millisecondes, pendant un pic d’activité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 système d'intervention d'urgence ne peut pas être interfacé par d'autres systèmes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Utiliser OpenAPI pour définir les contrats de service. Inclure cela dans la première preuve de concept - personnaliser par la suite en tant que solution building blocks</w:t>
            </w:r>
          </w:p>
        </w:tc>
      </w:tr>
    </w:tbl>
    <w:p w:rsidR="00000000" w:rsidDel="00000000" w:rsidP="00000000" w:rsidRDefault="00000000" w:rsidRPr="00000000" w14:paraId="0000002E">
      <w:pPr>
        <w:spacing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pos="4153"/>
        <w:tab w:val="right" w:pos="9060"/>
        <w:tab w:val="center" w:pos="4680"/>
        <w:tab w:val="right" w:pos="9360"/>
      </w:tabs>
      <w:spacing w:after="40" w:before="40" w:line="240" w:lineRule="auto"/>
      <w:jc w:val="both"/>
      <w:rPr>
        <w:rFonts w:ascii="Proxima Nova" w:cs="Proxima Nova" w:eastAsia="Proxima Nova" w:hAnsi="Proxima Nova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Copyright © 2022  MedHead:  Principes de l’architecture</w:t>
      <w:tab/>
      <w:tab/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/</w:t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153"/>
        <w:tab w:val="right" w:pos="9060"/>
        <w:tab w:val="center" w:pos="4680"/>
        <w:tab w:val="right" w:pos="9360"/>
      </w:tabs>
      <w:spacing w:after="40" w:before="40" w:line="240" w:lineRule="auto"/>
      <w:jc w:val="both"/>
      <w:rPr>
        <w:rFonts w:ascii="Proxima Nova" w:cs="Proxima Nova" w:eastAsia="Proxima Nova" w:hAnsi="Proxima Nova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Copyright © 2022  MedHead:  Principes de l’architecture</w:t>
      <w:tab/>
      <w:tab/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/</w:t>
    </w:r>
    <w:r w:rsidDel="00000000" w:rsidR="00000000" w:rsidRPr="00000000">
      <w:rPr>
        <w:rFonts w:ascii="Proxima Nova" w:cs="Proxima Nova" w:eastAsia="Proxima Nova" w:hAnsi="Proxima Nov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62100" cy="457200"/>
          <wp:effectExtent b="0" l="0" r="0" t="0"/>
          <wp:docPr descr="The MedHead Logo" id="2" name="image2.jpg"/>
          <a:graphic>
            <a:graphicData uri="http://schemas.openxmlformats.org/drawingml/2006/picture">
              <pic:pic>
                <pic:nvPicPr>
                  <pic:cNvPr descr="The MedHead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801775" cy="825452"/>
          <wp:effectExtent b="0" l="0" r="0" t="0"/>
          <wp:docPr descr="The MedHead Logo" id="1" name="image1.jpg"/>
          <a:graphic>
            <a:graphicData uri="http://schemas.openxmlformats.org/drawingml/2006/picture">
              <pic:pic>
                <pic:nvPicPr>
                  <pic:cNvPr descr="The MedHead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1775" cy="8254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fldChar w:fldCharType="begin"/>
      <w:instrText xml:space="preserve"> HYPERLINK "https://user.oc-static.com/upload/2019/09/20/1568991016891_MedHead.jpg" </w:instrText>
      <w:fldChar w:fldCharType="separate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400" w:line="240" w:lineRule="auto"/>
    </w:pPr>
    <w:rPr>
      <w:rFonts w:ascii="Proxima Nova" w:cs="Proxima Nova" w:eastAsia="Proxima Nova" w:hAnsi="Proxima Nov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Proxima Nova" w:cs="Proxima Nova" w:eastAsia="Proxima Nova" w:hAnsi="Proxima Nov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rFonts w:ascii="Proxima Nova" w:cs="Proxima Nova" w:eastAsia="Proxima Nova" w:hAnsi="Proxima Nova"/>
      <w:b w:val="1"/>
      <w:color w:val="38761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