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GTPL/GEN/OFF/26-27/0001</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26th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Nitesh Baldaniya</w:t>
      </w:r>
      <w:proofErr w:type="spellStart"/>
      <w:r w:rsidRPr="00F32B1D">
        <w:rPr>
          <w:rFonts w:cstheme="minorHAnsi"/>
          <w:b/>
          <w:sz w:val="23"/>
          <w:szCs w:val="23"/>
        </w:rPr>
        <w:t/>
      </w:r>
      <w:proofErr w:type="spellEnd"/>
      <w:r w:rsidRPr="00F32B1D">
        <w:rPr>
          <w:rFonts w:cstheme="minorHAnsi"/>
          <w:b/>
          <w:sz w:val="23"/>
          <w:szCs w:val="23"/>
        </w:rPr>
        <w:t xml:space="preserve"> Baldaniya</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Kaivanna Complex, 304 - 306 &amp; 701, Chimanlal Girdharlal Rd, Panchavati Society, Ambawadi</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Nitesh Baldaniya</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HR Director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GEN</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30th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 months</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