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GTPL/HR/26-27/TA/10104</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27th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Nitesh</w:t>
      </w:r>
      <w:proofErr w:type="spellStart"/>
      <w:r w:rsidRPr="00F32B1D">
        <w:rPr>
          <w:rFonts w:cstheme="minorHAnsi"/>
          <w:b/>
          <w:sz w:val="23"/>
          <w:szCs w:val="23"/>
        </w:rPr>
        <w:t/>
      </w:r>
      <w:proofErr w:type="spellEnd"/>
      <w:r w:rsidRPr="00F32B1D">
        <w:rPr>
          <w:rFonts w:cstheme="minorHAnsi"/>
          <w:b/>
          <w:sz w:val="23"/>
          <w:szCs w:val="23"/>
        </w:rPr>
        <w:t xml:space="preserve"> Baldaniya</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Maganbhai, main bajar, Goradka, Amreli, ‘ rr Z = = = —— BS Gujarat, 364522</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Nitesh</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UI/UX</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Development</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28th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Six</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