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GTPL/HR/26-27/TA/10108</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29th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IMAGE NOT INCLUDED</w:t>
      </w:r>
      <w:proofErr w:type="spellStart"/>
      <w:r w:rsidRPr="00F32B1D">
        <w:rPr>
          <w:rFonts w:cstheme="minorHAnsi"/>
          <w:b/>
          <w:sz w:val="23"/>
          <w:szCs w:val="23"/>
        </w:rPr>
        <w:t/>
      </w:r>
      <w:proofErr w:type="spellEnd"/>
      <w:r w:rsidRPr="00F32B1D">
        <w:rPr>
          <w:rFonts w:cstheme="minorHAnsi"/>
          <w:b/>
          <w:sz w:val="23"/>
          <w:szCs w:val="23"/>
        </w:rPr>
        <w:t xml:space="preserve"> pancha</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7th Floor, Kaivanna Complex, 701, Chimanlal Girdharlal Rd, Panchavati Society, Ambawadi, Ahmedabad, Gujarat 380006</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IMAGE NOT INCLUDED</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29th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