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DC643" w14:textId="77777777" w:rsidR="004F59FE" w:rsidRPr="002210F1" w:rsidRDefault="002210F1">
      <w:pPr>
        <w:pStyle w:val="centered"/>
        <w:rPr>
          <w:rFonts w:ascii="Times New Roman" w:hAnsi="Times New Roman" w:cs="Times New Roman"/>
        </w:rPr>
      </w:pPr>
      <w:r w:rsidRPr="002210F1">
        <w:rPr>
          <w:rFonts w:ascii="Times New Roman" w:hAnsi="Times New Roman" w:cs="Times New Roman"/>
          <w:noProof/>
        </w:rPr>
        <w:drawing>
          <wp:inline distT="0" distB="0" distL="0" distR="0" wp14:anchorId="2D9DC645" wp14:editId="2D9DC646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DC644" w14:textId="77777777" w:rsidR="004F59FE" w:rsidRPr="002210F1" w:rsidRDefault="002210F1">
      <w:pPr>
        <w:rPr>
          <w:rFonts w:ascii="Times New Roman" w:hAnsi="Times New Roman" w:cs="Times New Roman"/>
        </w:rPr>
      </w:pPr>
      <w:r w:rsidRPr="002210F1">
        <w:rPr>
          <w:rFonts w:ascii="Times New Roman" w:hAnsi="Times New Roman" w:cs="Times New Roman"/>
        </w:rPr>
        <w:t>Figure 1: Distribution of MDR Risk Probabilities</w:t>
      </w:r>
    </w:p>
    <w:sectPr w:rsidR="004F59FE" w:rsidRPr="002210F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8077545">
    <w:abstractNumId w:val="1"/>
  </w:num>
  <w:num w:numId="2" w16cid:durableId="1204825988">
    <w:abstractNumId w:val="2"/>
  </w:num>
  <w:num w:numId="3" w16cid:durableId="138683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FE"/>
    <w:rsid w:val="002210F1"/>
    <w:rsid w:val="004F59FE"/>
    <w:rsid w:val="00A72ED8"/>
    <w:rsid w:val="00E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C643"/>
  <w15:docId w15:val="{151340A3-CDF7-4308-B0E1-52C7EEC0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Gitau</cp:lastModifiedBy>
  <cp:revision>11</cp:revision>
  <dcterms:created xsi:type="dcterms:W3CDTF">2017-02-28T11:18:00Z</dcterms:created>
  <dcterms:modified xsi:type="dcterms:W3CDTF">2025-08-13T09:49:00Z</dcterms:modified>
  <cp:category/>
</cp:coreProperties>
</file>