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Hiragino Sans GB" w:hAnsi="Hiragino Sans GB" w:eastAsia="Hiragino Sans GB" w:cs="Hiragino Sans GB" w:hint="eastAsia"/>
          <w:b/>
          <w:color w:val="2E74B5"/>
          <w:sz w:val="22"/>
          <w:lang w:val="zh-CN" w:eastAsia="zh-CN"/>
        </w:rPr>
        <w:t>技术服务盘点</w:t>
      </w:r>
    </w:p>
    <w:p>
      <w:pPr>
        <w:spacing w:after="200"/>
        <w:jc w:val="center"/>
      </w:pPr>
      <w:r>
        <w:rPr>
          <w:rFonts w:ascii="Hiragino Sans GB" w:hAnsi="Hiragino Sans GB" w:eastAsia="Hiragino Sans GB" w:cs="Hiragino Sans GB" w:hint="eastAsia"/>
          <w:b/>
          <w:color w:val="0B2545"/>
          <w:sz w:val="56"/>
          <w:lang w:val="zh-CN" w:eastAsia="zh-CN"/>
        </w:rPr>
        <w:t>QuantOKX 后端服务清单</w:t>
        <w:br/>
        <w:t>与改进建议</w:t>
      </w:r>
    </w:p>
    <w:p>
      <w:pPr>
        <w:spacing w:after="680"/>
        <w:jc w:val="center"/>
      </w:pPr>
      <w:r>
        <w:rPr>
          <w:rFonts w:ascii="Hiragino Sans GB" w:hAnsi="Hiragino Sans GB" w:eastAsia="Hiragino Sans GB" w:cs="Hiragino Sans GB" w:hint="eastAsia"/>
          <w:b w:val="0"/>
          <w:color w:val="1F4D78"/>
          <w:sz w:val="28"/>
          <w:lang w:val="zh-CN" w:eastAsia="zh-CN"/>
        </w:rPr>
        <w:t>已实现能力 · 待补充能力 · 优化方向</w:t>
      </w:r>
    </w:p>
    <w:p>
      <w:pPr>
        <w:spacing w:after="1400"/>
        <w:jc w:val="center"/>
      </w:pPr>
      <w:r>
        <w:rPr>
          <w:rFonts w:ascii="Hiragino Sans GB" w:hAnsi="Hiragino Sans GB" w:eastAsia="Hiragino Sans GB" w:cs="Hiragino Sans GB"/>
        </w:rPr>
        <w:t>已实现服务 43 项   |   建议新增服务 29 项   |   重点优化项 31 项（含 SS 专项）</w:t>
      </w:r>
    </w:p>
    <w:p>
      <w:pPr>
        <w:spacing w:after="80"/>
        <w:jc w:val="center"/>
      </w:pPr>
      <w:r>
        <w:rPr>
          <w:rFonts w:ascii="Hiragino Sans GB" w:hAnsi="Hiragino Sans GB" w:eastAsia="Hiragino Sans GB" w:cs="Hiragino Sans GB" w:hint="eastAsia"/>
          <w:b w:val="0"/>
          <w:color w:val="5F6B76"/>
          <w:sz w:val="21"/>
          <w:lang w:val="zh-CN" w:eastAsia="zh-CN"/>
        </w:rPr>
        <w:t>项目：QuantOKX 本地量化交易管理平台</w:t>
      </w:r>
    </w:p>
    <w:p>
      <w:pPr>
        <w:spacing w:after="0"/>
        <w:jc w:val="center"/>
      </w:pPr>
      <w:r>
        <w:rPr>
          <w:rFonts w:ascii="Hiragino Sans GB" w:hAnsi="Hiragino Sans GB" w:eastAsia="Hiragino Sans GB" w:cs="Hiragino Sans GB"/>
        </w:rPr>
        <w:t>盘点日期：2026 年 7 月 18 日</w:t>
      </w:r>
    </w:p>
    <w:p>
      <w:r>
        <w:rPr>
          <w:rFonts w:ascii="Hiragino Sans GB" w:hAnsi="Hiragino Sans GB" w:eastAsia="Hiragino Sans GB" w:cs="Hiragino Sans GB"/>
        </w:rP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一、目前已经实现的服务</w:t>
      </w:r>
    </w:p>
    <w:p>
      <w:pPr>
        <w:keepNext/>
        <w:spacing w:before="0" w:after="160" w:line="300" w:lineRule="auto"/>
      </w:pPr>
      <w:r>
        <w:rPr>
          <w:rFonts w:ascii="Hiragino Sans GB" w:hAnsi="Hiragino Sans GB" w:eastAsia="Hiragino Sans GB" w:cs="Hiragino Sans GB" w:hint="eastAsia"/>
          <w:b w:val="0"/>
          <w:color w:val="5F6B76"/>
          <w:sz w:val="21"/>
          <w:lang w:val="zh-CN" w:eastAsia="zh-CN"/>
        </w:rPr>
        <w:t>以下清单按当前项目代码结构整理，列出已经具备的主要后端、策略、数据与桌面桥接能力。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920"/>
        <w:gridCol w:w="584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92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服务</w:t>
            </w:r>
          </w:p>
        </w:tc>
        <w:tc>
          <w:tcPr>
            <w:tcW w:type="dxa" w:w="584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主要文件或目录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用户登录与 JWT 认证服务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backend/services/auth_service.py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API 凭证加密服务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backend/services/encryption_service.py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统一客户端服务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backend/services/okx_client.py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异步基础客户端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backend/services/okx/base.py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账户服务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backend/services/okx/account.py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行情服务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backend/services/okx/market.py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交易服务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backend/services/okx/trade.py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公共接口服务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backend/services/okx/public.py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资金接口服务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backend/services/okx/funding.py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错误码解析服务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backend/services/okx_error_codes.py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WebSocket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backend/services/okx_ws_client.py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市场行情管理服务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backend/services/market_data_service.py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交易品种缓存服务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backend/services/instrument_cache.py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订单管理服务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backend/services/order_manager.py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策略运行引擎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backend/services/strategy_engine.py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网格策略服务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backend/strategies/grid_strategy.py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趋势策略服务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backend/strategies/trend_strategy.py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套利策略服务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backend/strategies/arbitrage_strategy.py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高级网格对冲策略服务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backend/strategies/advanced_grid_hedge_strategy.py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策略公共基类与风控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backend/strategies/base_strategy.py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PnL 盈亏核算服务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backend/services/pnl_accounting_engine.py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盈亏归因分析服务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backend/services/attribution_service.py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历史回测服务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backend/services/backtest_engine.py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沙箱模拟服务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backend/services/sandbox_service.py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通知服务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邮件通知渠道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Webhook 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Telegram 通知渠道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backend/services/notification_service.py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操作与 API 日志服务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backend/services/log_service.py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数据维护服务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backend/services/maintenance_service.py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代理设置服务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backend/services/proxy_service.py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Mihomo 代理进程服务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backend/services/proxy_core.py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DSL 注册服务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backend/dsl/registry.py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34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DSL 校验服务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backend/dsl/validator.py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35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DSL 编译服务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backend/dsl/compiler.py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36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DSL 执行服务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backend/dsl/executor.py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37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DSL Dry Run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backend/dsl/dry_run.py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38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QS-Model 生成服务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backend/research/qsm_generator.py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39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SQLite 数据库服务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backend/database.py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40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REST API 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backend/routers/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41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前端 WebSocket 推送服务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backend/routers/ws.py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42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仓位对账与健康监控服务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backend/routers/monitoring.py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43</w:t>
            </w:r>
          </w:p>
        </w:tc>
        <w:tc>
          <w:tcPr>
            <w:tcW w:type="dxa" w:w="292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桌面端 Python 桥接服务</w:t>
            </w:r>
          </w:p>
        </w:tc>
        <w:tc>
          <w:tcPr>
            <w:tcW w:type="dxa" w:w="584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desktop/qml_bridge.py</w:t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二、目前缺少或建议新增的服务</w:t>
      </w:r>
    </w:p>
    <w:p>
      <w:pPr>
        <w:keepNext/>
        <w:spacing w:before="0" w:after="160" w:line="300" w:lineRule="auto"/>
      </w:pPr>
      <w:r>
        <w:rPr>
          <w:rFonts w:ascii="Hiragino Sans GB" w:hAnsi="Hiragino Sans GB" w:eastAsia="Hiragino Sans GB" w:cs="Hiragino Sans GB" w:hint="eastAsia"/>
          <w:b w:val="0"/>
          <w:color w:val="5F6B76"/>
          <w:sz w:val="21"/>
          <w:lang w:val="zh-CN" w:eastAsia="zh-CN"/>
        </w:rPr>
        <w:t>以下能力尚未形成独立、完整的服务，建议根据安全性、可靠性和产品发展计划逐步补充。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700"/>
        <w:gridCol w:w="606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7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建议新增服务</w:t>
            </w:r>
          </w:p>
        </w:tc>
        <w:tc>
          <w:tcPr>
            <w:tcW w:type="dxa" w:w="606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主要用途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数据库版本迁移服务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使用 Alembic 统一管理数据库结构升级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订单意图服务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下单前持久化订单意图，避免重复下单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成交去重服务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防止同一成交事件被重复处理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故障恢复服务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网络断开或程序重启后恢复策略和订单状态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统一风险管理服务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集中管理资金、仓位、杠杆和保证金规则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任务队列服务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异步处理日志、通知、报表和数据库写入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定时任务服务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统一管理对账、数据清理、备份和日报任务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数据库备份与恢复服务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自动备份、完整性校验和恢复 SQLite 数据库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数据保留与归档服务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清理或归档历史订单、日志和 PnL 数据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结构化监控指标服务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统计延迟、失败率、数据库锁和任务状态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统一健康检查服务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检查数据库、OKX、WebSocket 和策略心跳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密钥轮换服务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支持 JWT 密钥和 API 加密密钥轮换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WebSocket 鉴权服务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验证 WebSocket 连接用户身份和访问权限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用户权限服务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增加管理员、只读用户和操作员角色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审计服务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记录敏感配置与交易操作的完整审计轨迹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配置校验服务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启动时验证环境变量和生产安全配置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统一异常处理服务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规范业务错误码、接口响应和异常分类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API 限流服务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限制登录、上传、WebSocket 和管理接口请求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文件安全服务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安全处理上传文件、路径、类型和文件大小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交易所抽象服务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为支持 Binance、Bybit 等交易所预留统一接口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实时任务状态服务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展示回测、沙箱和维护任务的执行进度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报表服务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生成日报、周报、月报和策略绩效报告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数据导入导出服务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统一导出账户、订单、PnL 和策略数据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多账户资金分配服务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管理不同账户和策略之间的资金预算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策略版本管理服务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保存、比较和回滚策略版本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策略审批服务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实盘策略上线前提供人工审批流程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熔断服务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连续亏损、异常下单或网络故障时停止交易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灾难恢复服务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处理数据库损坏、进程崩溃和异常关机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29</w:t>
            </w:r>
          </w:p>
        </w:tc>
        <w:tc>
          <w:tcPr>
            <w:tcW w:type="dxa" w:w="27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CI 自动化服务</w:t>
            </w:r>
          </w:p>
        </w:tc>
        <w:tc>
          <w:tcPr>
            <w:tcW w:type="dxa" w:w="60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自动执行测试、前端构建和安全检查</w:t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三、目前需要重点优化的服务</w:t>
      </w:r>
    </w:p>
    <w:p>
      <w:pPr>
        <w:keepNext/>
        <w:spacing w:before="0" w:after="160" w:line="300" w:lineRule="auto"/>
      </w:pPr>
      <w:r>
        <w:rPr>
          <w:rFonts w:ascii="Hiragino Sans GB" w:hAnsi="Hiragino Sans GB" w:eastAsia="Hiragino Sans GB" w:cs="Hiragino Sans GB" w:hint="eastAsia"/>
          <w:b w:val="0"/>
          <w:color w:val="5F6B76"/>
          <w:sz w:val="21"/>
          <w:lang w:val="zh-CN" w:eastAsia="zh-CN"/>
        </w:rPr>
        <w:t>以下项目已经具备基础能力，但仍需围绕安全、并发、故障恢复、可维护性和生产部署进行优化。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2500"/>
        <w:gridCol w:w="6260"/>
      </w:tblGrid>
      <w:tr>
        <w:trPr>
          <w:tblHeader w:val="true"/>
          <w:cantSplit/>
        </w:trPr>
        <w:tc>
          <w:tcPr>
            <w:tcW w:type="dxa" w:w="6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序号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服务或模块</w:t>
            </w:r>
          </w:p>
        </w:tc>
        <w:tc>
          <w:tcPr>
            <w:tcW w:type="dxa" w:w="6260"/>
            <w:vAlign w:val="center"/>
            <w:shd w:fill="E8EEF5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/>
                <w:color w:val="0B2545"/>
                <w:sz w:val="19"/>
                <w:lang w:val="zh-CN" w:eastAsia="zh-CN"/>
              </w:rPr>
              <w:t>需要优化的方向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认证服务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删除默认密码、加强密码规则、修复锁定时间计算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JWT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禁止使用默认密钥，增加密钥轮换和令牌撤销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WebSocket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增加鉴权、连接限制、心跳、背压和断线清理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客户端服务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统一同步与异步客户端，减少重复实现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OKX 日志服务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禁止记录 API Key、Passphrase 和签名片段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订单管理服务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确保 orders.order_id 只保存 OKX 返回的 ordId；增加 clOrdId 幂等、订单状态机、部分成交、重试和成交去重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策略引擎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区分期望状态与真实运行状态；完善任务心跳、手动状态展示、异常中断恢复以及订单/行情订阅对账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PnL 核算服务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统一单策略 realized/unrealized/total 口径；新策略使用独立零基线；账户总盈亏按各策略最新快照求和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9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仓位对账服务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增加自动修复策略、差异历史和处理流程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10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风险控制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从策略基类抽离为独立的统一服务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数据库服务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使用 Alembic、WAL 模式、超时和事务管理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数据库访问层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减少异步流程中的同步 SQLAlchemy 操作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日志服务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改为结构化日志、脱敏、分级和异步写入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通知服务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增加重试、队列、频率限制和失败记录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回测服务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支持更多策略、部分成交和更真实的滑点模型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沙箱服务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增加流动性、延迟、手续费和部分成交模拟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代理服务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 macOS/Linux 支持和安全配置校验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文件上传服务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防止路径穿越，限制文件大小和文件类型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19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配置服务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对生产配置执行强制安全检查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20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维护服务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增加备份、确认机制、权限和操作审计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21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行情缓存服务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明确全量 SPOT 快照缓存与按需 WebSocket 订阅边界；增加来源、时间戳、陈旧阈值和降级标记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22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策略 DSL 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增加严格 Schema、执行限制和资源隔离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23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API 路由层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将原始 dict 请求改为严格 Pydantic 模型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24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健康监控服务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区分存活、就绪、OKX 连接和策略健康状态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25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桌面端桥接服务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减少直接访问数据库，统一通过服务层操作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26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依赖管理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使用 pyproject.toml 和锁定文件统一依赖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27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测试体系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补齐新策略零基线、多策略总盈亏、部分成交、ordId 去重、中断恢复幂等和归因交叉一致性测试</w:t>
            </w:r>
          </w:p>
        </w:tc>
      </w:tr>
      <w:tr>
        <w:trPr>
          <w:cantSplit/>
          <w:trHeight w:hRule="auto"/>
        </w:trPr>
        <w:tc>
          <w:tcPr>
            <w:tcW w:type="dxa" w:w="6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28</w:t>
            </w:r>
          </w:p>
        </w:tc>
        <w:tc>
          <w:tcPr>
            <w:tcW w:type="dxa" w:w="250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部署体系</w:t>
            </w:r>
          </w:p>
        </w:tc>
        <w:tc>
          <w:tcPr>
            <w:tcW w:type="dxa" w:w="6260"/>
            <w:vAlign w:val="center"/>
            <w:tcBorders>
              <w:top w:val="single" w:sz="6" w:color="B8C4D1"/>
              <w:left w:val="single" w:sz="6" w:color="B8C4D1"/>
              <w:bottom w:val="single" w:sz="6" w:color="B8C4D1"/>
              <w:right w:val="single" w:sz="6" w:color="B8C4D1"/>
              <w:insideH w:val="single" w:sz="6" w:color="B8C4D1"/>
              <w:insideV w:val="single" w:sz="6" w:color="B8C4D1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 w:hint="eastAsia"/>
                <w:b w:val="0"/>
                <w:color w:val="20252A"/>
                <w:sz w:val="18"/>
                <w:lang w:val="zh-CN" w:eastAsia="zh-CN"/>
              </w:rPr>
              <w:t>增加 CI、自动构建、备份和运行监控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29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策略状态与恢复</w:t>
            </w:r>
          </w:p>
        </w:tc>
        <w:tc>
          <w:tcPr>
            <w:tcW w:type="dxa" w:w="626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新增 desired/runtime 状态分离、状态漂移告警和可重复执行的 OKX 对账恢复流程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30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行情与定价服务</w:t>
            </w:r>
          </w:p>
        </w:tc>
        <w:tc>
          <w:tcPr>
            <w:tcW w:type="dxa" w:w="626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策略仅使用匹配 instId 的新鲜行情；展示层明确 20 秒轮询、15 秒缓存和 stale 状态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31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盈亏归因服务</w:t>
            </w:r>
          </w:p>
        </w:tc>
        <w:tc>
          <w:tcPr>
            <w:tcW w:type="dxa" w:w="6260"/>
            <w:vAlign w:val="center"/>
          </w:tcPr>
          <w:p>
            <w:r>
              <w:rPr>
                <w:rFonts w:ascii="Hiragino Sans GB" w:hAnsi="Hiragino Sans GB" w:eastAsia="Hiragino Sans GB" w:cs="Hiragino Sans GB"/>
              </w:rPr>
              <w:t>按币种、策略类型、时间段共享快照选择器和累计/区间口径，建立交叉汇总校验</w:t>
            </w:r>
          </w:p>
        </w:tc>
      </w:tr>
    </w:tbl>
    <w:p/>
    <w:p>
      <w:pPr>
        <w:spacing w:before="160" w:after="0" w:line="300" w:lineRule="auto"/>
      </w:pPr>
      <w:r>
        <w:rPr>
          <w:rFonts w:ascii="Hiragino Sans GB" w:hAnsi="Hiragino Sans GB" w:eastAsia="Hiragino Sans GB" w:cs="Hiragino Sans GB"/>
        </w:rPr>
        <w:t>说明：前三部分基于当前项目代码和已有文档整理；第四至第六部分同步 SS Project 的策略执行、PnL、订单、行情与归因专项问题。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四、SS Project 专项问题与开发建议</w:t>
      </w:r>
    </w:p>
    <w:p>
      <w:r>
        <w:rPr>
          <w:rFonts w:ascii="Hiragino Sans GB" w:hAnsi="Hiragino Sans GB" w:eastAsia="Hiragino Sans GB" w:cs="Hiragino Sans GB"/>
        </w:rPr>
        <w:t>本专项聚焦策略执行状态、单策略与账户级盈亏、新策略基线、订单标识、中断恢复、行情范围和归因分析。以下内容为当前实现判断与开发建议，不代表业务逻辑已经完成修复。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4.1 策略执行与手动状态展示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策略状态同时存在于数据库、StrategyEngine 内存任务和策略对象中；直接修改 strategy_instances.status 只改变展示字段，不会真正启动或停止任务。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可能出现页面显示 running 但任务不存在，或显示 stopped 但挂单、订阅和旧任务仍存活。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分离 desired_status 与 runtime_status；接口返回任务存活、心跳、活跃订单和状态来源；人工操作必须走服务接口并记录审计。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4.2 单个策略的已实现、未实现与总盈亏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现有 PnLAccountingEngine 已采用成交订单和快照核算，但增量/全量、部分成交、费用与行情失败仍需统一验证。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不同路径使用不同成本、成交排序或行情兜底时，会造成 realized/unrealized 跳变或重复计入。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固定 total = realized + unrealized；realized 只来自实际配对成交，unrealized 只针对剩余虚拟仓位，并统一 fillPx、fillSz、ctVal 和手续费口径。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4.3 新建策略的盈亏基线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新策略应以 strategy_instance_id 为隔离键，从零开始；无成交时展示 0，但不应持久化污染曲线的全零快照。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若按账户、币种或模板误取历史订单/快照，新策略会继承旧盈亏；全零记录也可能覆盖最近有效记录。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所有订单与 PnL 查询强制按实例隔离；首笔成交前不写 PnlRecord；复制、删除后重建和同名策略均不得复用旧基线。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4.4 新建策略与账户总盈亏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当前 get_pnl_summary 未指定策略时取全局最近一条有效 PnL 记录，而不是每个策略最新快照之和。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多策略并行时账户总盈亏会等于某一个策略；新建策略产生的新记录可能改变全局最近记录并干扰展示。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先按账户筛选，再为每个策略取最新有效快照，分别求和 realized 与 unrealized，最后计算 account_total。无成交的新策略贡献 0。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4.5 策略中断后的恢复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项目已有本地订单加载、OKX 状态查询和部分 PnL 基线恢复逻辑，但尚未形成单一、可观察、幂等的恢复状态机。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网络中断或进程崩溃可能导致重复下单、孤儿订单、状态漂移或同一成交重复记账。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按“读取期望状态 → OKX 对账 → 恢复订单/仓位/realized → 重算 unrealized → 恢复订阅与任务”执行；失败时保持 recovering/degraded。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4.6 orders 表中的订单 ID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orders.id 是数据库内部主键；orders.order_id 当前用于保存 OKX ordId；orders.cl_ord_id 用于客户端订单号。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如果把内部 ID、clOrdId 或其他临时值写入 order_id，撤单、查单、恢复、去重与 PnL 对账都会失去稳定标识。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固定 order_id = OKX ordId 且唯一；下单前生成唯一 clOrdId；超时后先按 clOrdId 查询确认，不能直接重复下单。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4.7 是否实时查询所有币种价格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不是逐币种持续实时查询。展示层每 20 秒请求选定币种；后端一次获取全部 SPOT ticker，缓存 15 秒后筛选返回；策略层按实际品种订阅或查询。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缓存或行情中断若没有时间戳与陈旧标记，PnL 可能把旧价当成实时价；现货价也不能替代合约 instId 的价格。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响应增加交易所时间戳、接收时间、来源和 stale 状态；超过阈值停止新开仓；PnL 使用与策略品种完全一致的 instId。</w:t>
      </w:r>
    </w:p>
    <w:p>
      <w:pPr>
        <w:pStyle w:val="Heading2"/>
      </w:pPr>
      <w:r>
        <w:rPr>
          <w:rFonts w:ascii="Hiragino Sans GB" w:hAnsi="Hiragino Sans GB" w:eastAsia="Hiragino Sans GB" w:cs="Hiragino Sans GB"/>
        </w:rPr>
        <w:t>4.8 归因分析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当前判断：</w:t>
      </w:r>
      <w:r>
        <w:rPr>
          <w:rFonts w:ascii="Hiragino Sans GB" w:hAnsi="Hiragino Sans GB" w:eastAsia="Hiragino Sans GB" w:cs="Hiragino Sans GB"/>
        </w:rPr>
        <w:t>AttributionService 已尝试统一使用 PnlRecord，但三个维度仍需共享同一账户、时间窗口、快照选择器和累计/区间定义。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主要风险：</w:t>
      </w:r>
      <w:r>
        <w:rPr>
          <w:rFonts w:ascii="Hiragino Sans GB" w:hAnsi="Hiragino Sans GB" w:eastAsia="Hiragino Sans GB" w:cs="Hiragino Sans GB"/>
        </w:rPr>
        <w:t>累计值与区间增量混用、unrealized 跨时点相加或成交次数按委托统计，会导致按币种、策略类型和时间段结果打架。</w:t>
      </w:r>
    </w:p>
    <w:p>
      <w:pPr>
        <w:spacing w:after="100"/>
      </w:pPr>
      <w:r>
        <w:rPr>
          <w:rFonts w:ascii="Hiragino Sans GB" w:hAnsi="Hiragino Sans GB" w:eastAsia="Hiragino Sans GB" w:cs="Hiragino Sans GB"/>
          <w:b/>
        </w:rPr>
        <w:t>改进建议：</w:t>
      </w:r>
      <w:r>
        <w:rPr>
          <w:rFonts w:ascii="Hiragino Sans GB" w:hAnsi="Hiragino Sans GB" w:eastAsia="Hiragino Sans GB" w:cs="Hiragino Sans GB"/>
        </w:rPr>
        <w:t>realized 明确采用累计或区间增量之一；unrealized 只取期末；total 始终相加；三个维度做交叉汇总一致性测试。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五、专项验收标准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单策略任一快照满足 total_pnl = realized_pnl + unrealized_pnl。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新建且无成交的策略不写 PnL 快照，API 展示 0，账户旧总盈亏不变。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两个及以上策略并行时，账户总盈亏等于每个策略最新有效快照之和。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WebSocket、REST 对账和重启恢复重复返回同一成交时只记账一次。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服务中断后重复执行恢复流程不会重复下单、重复记账或扩大仓位。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orders.order_id 与 OKX ordId 一致且唯一，clOrdId 可用于超时确认与幂等重试。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行情过期时明确标记 stale 并阻止新开仓，不把旧价或缺失价静默写成 0。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同一筛选条件下，按币种、策略类型和时间段的归因汇总结果一致。</w:t>
      </w:r>
    </w:p>
    <w:p>
      <w:pPr>
        <w:pStyle w:val="Heading1"/>
      </w:pPr>
      <w:r>
        <w:rPr>
          <w:rFonts w:ascii="Hiragino Sans GB" w:hAnsi="Hiragino Sans GB" w:eastAsia="Hiragino Sans GB" w:cs="Hiragino Sans GB"/>
        </w:rPr>
        <w:t>六、相关开发文档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docs/backend-improvement-review.md：后端整体改进评审与优先级。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docs/ss-project-pnl-order-attribution-development.md：本专项的详细开发顺序、字段语义和自动化验收场景。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.trae/specs/fix-pnl-realized-unrealized-consistency/spec.md：盈亏口径与订单追踪规格。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.trae/specs/fix-pnl-attribution-qsm-loop/spec.md：PnL、归因与策略切换规格。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.trae/specs/refactor-pnl-accounting-engine/spec.md：集中式 PnL 核算规格。</w:t>
      </w:r>
    </w:p>
    <w:p>
      <w:pPr>
        <w:spacing w:before="200"/>
      </w:pPr>
      <w:r>
        <w:rPr>
          <w:rFonts w:ascii="Hiragino Sans GB" w:hAnsi="Hiragino Sans GB" w:eastAsia="Hiragino Sans GB" w:cs="Hiragino Sans GB"/>
        </w:rPr>
        <w:t>专项同步日期：2026 年 7 月 18 日。本文档仅记录问题与改进计划，未修改后端交易业务逻辑。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 w:hint="eastAsia"/>
        <w:b w:val="0"/>
        <w:color w:val="5F6B76"/>
        <w:sz w:val="18"/>
        <w:lang w:val="zh-CN" w:eastAsia="zh-CN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 w:hint="eastAsia"/>
        <w:b w:val="0"/>
        <w:color w:val="5F6B76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 w:hint="eastAsia"/>
        <w:b/>
        <w:color w:val="5F6B76"/>
        <w:sz w:val="18"/>
        <w:lang w:val="zh-CN" w:eastAsia="zh-CN"/>
      </w:rPr>
      <w:t>QuantOKX  |  后端服务盘点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 w:cs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 w:cs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QuantOKX 后端服务清单与改进建议</dc:title>
  <dc:subject>SS Project 策略执行、PnL、订单、行情与归因专项</dc:subject>
  <dc:creator>QuantOKX</dc:creator>
  <cp:keywords>QuantOKX, 后端服务, 服务清单, 优化建议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