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Heiti SC" w:hAnsi="Heiti SC" w:eastAsia="Heiti SC" w:cs="Heiti SC" w:hint="eastAsia"/>
          <w:b/>
          <w:color w:val="2E74B5"/>
          <w:sz w:val="22"/>
          <w:lang w:val="zh-CN" w:eastAsia="zh-CN"/>
        </w:rPr>
        <w:t>技术服务盘点</w:t>
      </w:r>
    </w:p>
    <w:p>
      <w:pPr>
        <w:spacing w:after="200"/>
        <w:jc w:val="center"/>
      </w:pPr>
      <w:r>
        <w:rPr>
          <w:rFonts w:ascii="Heiti SC" w:hAnsi="Heiti SC" w:eastAsia="Heiti SC" w:cs="Heiti SC" w:hint="eastAsia"/>
          <w:b/>
          <w:color w:val="0B2545"/>
          <w:sz w:val="56"/>
          <w:lang w:val="zh-CN" w:eastAsia="zh-CN"/>
        </w:rPr>
        <w:t>QuantOKX 后端服务清单</w:t>
        <w:br/>
        <w:t>与改进建议</w:t>
      </w:r>
    </w:p>
    <w:p>
      <w:pPr>
        <w:spacing w:after="680"/>
        <w:jc w:val="center"/>
      </w:pPr>
      <w:r>
        <w:rPr>
          <w:rFonts w:ascii="Heiti SC" w:hAnsi="Heiti SC" w:eastAsia="Heiti SC" w:cs="Heiti SC" w:hint="eastAsia"/>
          <w:b w:val="0"/>
          <w:color w:val="1F4D78"/>
          <w:sz w:val="28"/>
          <w:lang w:val="zh-CN" w:eastAsia="zh-CN"/>
        </w:rPr>
        <w:t>已实现能力 · 待补充能力 · 优化方向</w:t>
      </w:r>
    </w:p>
    <w:p>
      <w:pPr>
        <w:spacing w:after="1400"/>
        <w:jc w:val="center"/>
      </w:pPr>
      <w:r>
        <w:rPr>
          <w:rFonts w:ascii="Heiti SC" w:hAnsi="Heiti SC" w:eastAsia="Heiti SC" w:cs="Heiti SC" w:hint="eastAsia"/>
          <w:b/>
          <w:color w:val="5F6B76"/>
          <w:sz w:val="22"/>
          <w:lang w:val="zh-CN" w:eastAsia="zh-CN"/>
        </w:rPr>
        <w:t>已实现服务 43 项   |   建议新增服务 29 项   |   重点优化项 28 项</w:t>
      </w:r>
    </w:p>
    <w:p>
      <w:pPr>
        <w:spacing w:after="80"/>
        <w:jc w:val="center"/>
      </w:pPr>
      <w:r>
        <w:rPr>
          <w:rFonts w:ascii="Heiti SC" w:hAnsi="Heiti SC" w:eastAsia="Heiti SC" w:cs="Heiti SC" w:hint="eastAsia"/>
          <w:b w:val="0"/>
          <w:color w:val="5F6B76"/>
          <w:sz w:val="21"/>
          <w:lang w:val="zh-CN" w:eastAsia="zh-CN"/>
        </w:rPr>
        <w:t>项目：QuantOKX 本地量化交易管理平台</w:t>
      </w:r>
    </w:p>
    <w:p>
      <w:pPr>
        <w:spacing w:after="0"/>
        <w:jc w:val="center"/>
      </w:pPr>
      <w:r>
        <w:rPr>
          <w:rFonts w:ascii="Heiti SC" w:hAnsi="Heiti SC" w:eastAsia="Heiti SC" w:cs="Heiti SC" w:hint="eastAsia"/>
          <w:b w:val="0"/>
          <w:color w:val="5F6B76"/>
          <w:sz w:val="21"/>
          <w:lang w:val="zh-CN" w:eastAsia="zh-CN"/>
        </w:rPr>
        <w:t>盘点日期：2026 年 7 月 17 日</w:t>
      </w:r>
    </w:p>
    <w:p>
      <w:r>
        <w:br w:type="page"/>
      </w:r>
    </w:p>
    <w:p>
      <w:pPr>
        <w:pStyle w:val="Heading1"/>
        <w:keepNext/>
      </w:pPr>
      <w:r>
        <w:t>一、目前已经实现的服务</w:t>
      </w:r>
    </w:p>
    <w:p>
      <w:pPr>
        <w:keepNext/>
        <w:spacing w:before="0" w:after="160" w:line="300" w:lineRule="auto"/>
      </w:pPr>
      <w:r>
        <w:rPr>
          <w:rFonts w:ascii="Heiti SC" w:hAnsi="Heiti SC" w:eastAsia="Heiti SC" w:cs="Heiti SC" w:hint="eastAsia"/>
          <w:b w:val="0"/>
          <w:color w:val="5F6B76"/>
          <w:sz w:val="21"/>
          <w:lang w:val="zh-CN" w:eastAsia="zh-CN"/>
        </w:rPr>
        <w:t>以下清单按当前项目代码结构整理，列出已经具备的主要后端、策略、数据与桌面桥接能力。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920"/>
        <w:gridCol w:w="5840"/>
      </w:tblGrid>
      <w:tr>
        <w:trPr>
          <w:tblHeader w:val="true"/>
        </w:trPr>
        <w:tc>
          <w:tcPr>
            <w:tcW w:type="dxa" w:w="6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序号</w:t>
            </w:r>
          </w:p>
        </w:tc>
        <w:tc>
          <w:tcPr>
            <w:tcW w:type="dxa" w:w="292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服务</w:t>
            </w:r>
          </w:p>
        </w:tc>
        <w:tc>
          <w:tcPr>
            <w:tcW w:type="dxa" w:w="584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主要文件或目录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用户登录与 JWT 认证服务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backend/services/auth_service.py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API 凭证加密服务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backend/services/encryption_service.py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统一客户端服务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backend/services/okx_client.py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异步基础客户端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backend/services/okx/base.py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账户服务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backend/services/okx/account.py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行情服务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backend/services/okx/market.py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交易服务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backend/services/okx/trade.py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公共接口服务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backend/services/okx/public.py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资金接口服务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backend/services/okx/funding.py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错误码解析服务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backend/services/okx_error_codes.py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WebSocket 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backend/services/okx_ws_client.py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市场行情管理服务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backend/services/market_data_service.py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交易品种缓存服务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backend/services/instrument_cache.py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订单管理服务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backend/services/order_manager.py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策略运行引擎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backend/services/strategy_engine.py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网格策略服务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backend/strategies/grid_strategy.py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趋势策略服务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backend/strategies/trend_strategy.py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套利策略服务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backend/strategies/arbitrage_strategy.py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高级网格对冲策略服务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backend/strategies/advanced_grid_hedge_strategy.py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策略公共基类与风控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backend/strategies/base_strategy.py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PnL 盈亏核算服务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backend/services/pnl_accounting_engine.py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盈亏归因分析服务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backend/services/attribution_service.py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历史回测服务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backend/services/backtest_engine.py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沙箱模拟服务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backend/services/sandbox_service.py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通知服务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邮件通知渠道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Webhook 通知渠道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Telegram 通知渠道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操作与 API 日志服务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backend/services/log_service.py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数据维护服务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backend/services/maintenance_service.py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代理设置服务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backend/services/proxy_service.py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Mihomo 代理进程服务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backend/services/proxy_core.py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DSL 注册服务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backend/dsl/registry.py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DSL 校验服务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backend/dsl/validator.py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DSL 编译服务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backend/dsl/compiler.py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DSL 执行服务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backend/dsl/executor.py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DSL Dry Run 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backend/dsl/dry_run.py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QS-Model 生成服务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backend/research/qsm_generator.py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SQLite 数据库服务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backend/database.py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REST API 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backend/routers/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前端 WebSocket 推送服务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backend/routers/ws.py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仓位对账与健康监控服务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backend/routers/monitoring.py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桌面端 Python 桥接服务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desktop/qml_bridge.py</w:t>
            </w:r>
          </w:p>
        </w:tc>
      </w:tr>
    </w:tbl>
    <w:p>
      <w:pPr>
        <w:pStyle w:val="Heading1"/>
        <w:keepNext/>
      </w:pPr>
      <w:r>
        <w:t>二、目前缺少或建议新增的服务</w:t>
      </w:r>
    </w:p>
    <w:p>
      <w:pPr>
        <w:keepNext/>
        <w:spacing w:before="0" w:after="160" w:line="300" w:lineRule="auto"/>
      </w:pPr>
      <w:r>
        <w:rPr>
          <w:rFonts w:ascii="Heiti SC" w:hAnsi="Heiti SC" w:eastAsia="Heiti SC" w:cs="Heiti SC" w:hint="eastAsia"/>
          <w:b w:val="0"/>
          <w:color w:val="5F6B76"/>
          <w:sz w:val="21"/>
          <w:lang w:val="zh-CN" w:eastAsia="zh-CN"/>
        </w:rPr>
        <w:t>以下能力尚未形成独立、完整的服务，建议根据安全性、可靠性和产品发展计划逐步补充。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700"/>
        <w:gridCol w:w="6060"/>
      </w:tblGrid>
      <w:tr>
        <w:trPr>
          <w:tblHeader w:val="true"/>
        </w:trPr>
        <w:tc>
          <w:tcPr>
            <w:tcW w:type="dxa" w:w="6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序号</w:t>
            </w:r>
          </w:p>
        </w:tc>
        <w:tc>
          <w:tcPr>
            <w:tcW w:type="dxa" w:w="27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建议新增服务</w:t>
            </w:r>
          </w:p>
        </w:tc>
        <w:tc>
          <w:tcPr>
            <w:tcW w:type="dxa" w:w="606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主要用途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数据库版本迁移服务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使用 Alembic 统一管理数据库结构升级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订单意图服务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下单前持久化订单意图，避免重复下单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成交去重服务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防止同一成交事件被重复处理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故障恢复服务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网络断开或程序重启后恢复策略和订单状态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5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统一风险管理服务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集中管理资金、仓位、杠杆和保证金规则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6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任务队列服务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异步处理日志、通知、报表和数据库写入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7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定时任务服务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统一管理对账、数据清理、备份和日报任务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8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数据库备份与恢复服务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自动备份、完整性校验和恢复 SQLite 数据库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9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数据保留与归档服务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清理或归档历史订单、日志和 PnL 数据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10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结构化监控指标服务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统计延迟、失败率、数据库锁和任务状态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11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统一健康检查服务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检查数据库、OKX、WebSocket 和策略心跳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12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密钥轮换服务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支持 JWT 密钥和 API 加密密钥轮换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13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WebSocket 鉴权服务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验证 WebSocket 连接用户身份和访问权限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14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用户权限服务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增加管理员、只读用户和操作员角色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15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审计服务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记录敏感配置与交易操作的完整审计轨迹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16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配置校验服务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启动时验证环境变量和生产安全配置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17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统一异常处理服务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规范业务错误码、接口响应和异常分类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18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API 限流服务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限制登录、上传、WebSocket 和管理接口请求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19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文件安全服务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安全处理上传文件、路径、类型和文件大小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20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交易所抽象服务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为支持 Binance、Bybit 等交易所预留统一接口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21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实时任务状态服务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展示回测、沙箱和维护任务的执行进度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22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报表服务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生成日报、周报、月报和策略绩效报告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23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数据导入导出服务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统一导出账户、订单、PnL 和策略数据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24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多账户资金分配服务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管理不同账户和策略之间的资金预算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25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策略版本管理服务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保存、比较和回滚策略版本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26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策略审批服务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实盘策略上线前提供人工审批流程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27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熔断服务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连续亏损、异常下单或网络故障时停止交易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28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灾难恢复服务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处理数据库损坏、进程崩溃和异常关机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29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CI 自动化服务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自动执行测试、前端构建和安全检查</w:t>
            </w:r>
          </w:p>
        </w:tc>
      </w:tr>
    </w:tbl>
    <w:p>
      <w:pPr>
        <w:pStyle w:val="Heading1"/>
        <w:keepNext/>
      </w:pPr>
      <w:r>
        <w:t>三、目前需要重点优化的服务</w:t>
      </w:r>
    </w:p>
    <w:p>
      <w:pPr>
        <w:keepNext/>
        <w:spacing w:before="0" w:after="160" w:line="300" w:lineRule="auto"/>
      </w:pPr>
      <w:r>
        <w:rPr>
          <w:rFonts w:ascii="Heiti SC" w:hAnsi="Heiti SC" w:eastAsia="Heiti SC" w:cs="Heiti SC" w:hint="eastAsia"/>
          <w:b w:val="0"/>
          <w:color w:val="5F6B76"/>
          <w:sz w:val="21"/>
          <w:lang w:val="zh-CN" w:eastAsia="zh-CN"/>
        </w:rPr>
        <w:t>以下项目已经具备基础能力，但仍需围绕安全、并发、故障恢复、可维护性和生产部署进行优化。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500"/>
        <w:gridCol w:w="6260"/>
      </w:tblGrid>
      <w:tr>
        <w:trPr>
          <w:tblHeader w:val="true"/>
        </w:trPr>
        <w:tc>
          <w:tcPr>
            <w:tcW w:type="dxa" w:w="6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序号</w:t>
            </w:r>
          </w:p>
        </w:tc>
        <w:tc>
          <w:tcPr>
            <w:tcW w:type="dxa" w:w="25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服务或模块</w:t>
            </w:r>
          </w:p>
        </w:tc>
        <w:tc>
          <w:tcPr>
            <w:tcW w:type="dxa" w:w="626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/>
                <w:color w:val="0B2545"/>
                <w:sz w:val="19"/>
                <w:lang w:val="zh-CN" w:eastAsia="zh-CN"/>
              </w:rPr>
              <w:t>需要优化的方向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认证服务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删除默认密码、加强密码规则、修复锁定时间计算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JWT 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禁止使用默认密钥，增加密钥轮换和令牌撤销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3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WebSocket 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增加鉴权、连接限制、心跳、背压和断线清理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4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客户端服务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统一同步与异步客户端，减少重复实现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5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OKX 日志服务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禁止记录 API Key、Passphrase 和签名片段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6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订单管理服务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增加幂等、订单状态机、重试和成交去重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7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策略引擎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持久化运行状态，加强重启恢复和任务隔离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8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PnL 核算服务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拆分超大模块，加强事务和重复成交保护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9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仓位对账服务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增加自动修复策略、差异历史和处理流程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10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风险控制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从策略基类抽离为独立的统一服务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11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数据库服务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使用 Alembic、WAL 模式、超时和事务管理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12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数据库访问层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减少异步流程中的同步 SQLAlchemy 操作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13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日志服务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改为结构化日志、脱敏、分级和异步写入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14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通知服务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增加重试、队列、频率限制和失败记录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15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回测服务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支持更多策略、部分成交和更真实的滑点模型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16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沙箱服务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增加流动性、延迟、手续费和部分成交模拟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17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代理服务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 macOS/Linux 支持和安全配置校验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18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文件上传服务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防止路径穿越，限制文件大小和文件类型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19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配置服务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对生产配置执行强制安全检查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20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维护服务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增加备份、确认机制、权限和操作审计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21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行情缓存服务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增加缓存过期、容量限制和异常恢复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22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策略 DSL 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增加严格 Schema、执行限制和资源隔离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23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API 路由层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将原始 dict 请求改为严格 Pydantic 模型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24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健康监控服务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区分存活、就绪、OKX 连接和策略健康状态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25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桌面端桥接服务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减少直接访问数据库，统一通过服务层操作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26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依赖管理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使用 pyproject.toml 和锁定文件统一依赖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27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测试体系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增加安全、迁移、故障恢复和并发测试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28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部署体系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eiti SC" w:hAnsi="Heiti SC" w:eastAsia="Heiti SC" w:cs="Heiti SC" w:hint="eastAsia"/>
                <w:b w:val="0"/>
                <w:color w:val="20252A"/>
                <w:sz w:val="18"/>
                <w:lang w:val="zh-CN" w:eastAsia="zh-CN"/>
              </w:rPr>
              <w:t>增加 CI、自动构建、备份和运行监控</w:t>
            </w:r>
          </w:p>
        </w:tc>
      </w:tr>
    </w:tbl>
    <w:p/>
    <w:p>
      <w:pPr>
        <w:spacing w:before="160" w:after="0" w:line="300" w:lineRule="auto"/>
      </w:pPr>
      <w:r>
        <w:rPr>
          <w:rFonts w:ascii="Heiti SC" w:hAnsi="Heiti SC" w:eastAsia="Heiti SC" w:cs="Heiti SC" w:hint="eastAsia"/>
          <w:b w:val="0"/>
          <w:color w:val="5F6B76"/>
          <w:sz w:val="19"/>
          <w:lang w:val="zh-CN" w:eastAsia="zh-CN"/>
        </w:rPr>
        <w:t>说明：本清单基于当前项目代码和已有文档整理，用于技术盘点与后续迭代规划。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 w:cs="Heiti SC" w:hint="eastAsia"/>
        <w:b w:val="0"/>
        <w:color w:val="5F6B76"/>
        <w:sz w:val="18"/>
        <w:lang w:val="zh-CN" w:eastAsia="zh-CN"/>
      </w:rPr>
      <w:t xml:space="preserve">第 </w:t>
      <w:fldChar w:fldCharType="begin"/>
      <w:instrText xml:space="preserve"> PAGE </w:instrText>
      <w:fldChar w:fldCharType="end"/>
    </w:r>
    <w:r>
      <w:rPr>
        <w:rFonts w:ascii="Heiti SC" w:hAnsi="Heiti SC" w:eastAsia="Heiti SC" w:cs="Heiti SC" w:hint="eastAsia"/>
        <w:b w:val="0"/>
        <w:color w:val="5F6B76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eiti SC" w:hAnsi="Heiti SC" w:eastAsia="Heiti SC" w:cs="Heiti SC" w:hint="eastAsia"/>
        <w:b/>
        <w:color w:val="5F6B76"/>
        <w:sz w:val="18"/>
        <w:lang w:val="zh-CN" w:eastAsia="zh-CN"/>
      </w:rPr>
      <w:t>QuantOKX  |  后端服务盘点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 w:cs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QuantOKX 后端服务清单与改进建议</dc:title>
  <dc:subject>已实现服务、建议新增服务与需要优化的服务清单</dc:subject>
  <dc:creator>QuantOKX</dc:creator>
  <cp:keywords>QuantOKX, 后端服务, 服务清单, 优化建议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