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/>
        <w:ind w:left="0" w:right="-680" w:hanging="0"/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Б 2.  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Агрегатные состояния вещества.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Вещество может находиться в трех состояниях: твердом, жидком и газообразном. В твердом состоянии тело сохраняет как форму, так и объем, а частицы, из которых оно состоит, довольно плотно прилегают друг к другу. В жидком состоянии вещество сохраняет объем, но стремится принять форму сосуда, в котором находится. Газообразное состояние характерно тем, что газ заполняет все доступное пространство. </w:t>
      </w:r>
      <w:r>
        <w:rPr>
          <w:rFonts w:ascii="Calibri" w:hAnsi="Calibri"/>
          <w:color w:val="000000"/>
          <w:sz w:val="24"/>
          <w:szCs w:val="24"/>
        </w:rPr>
        <w:t xml:space="preserve">Вещества могут менять свое состояние в зависимости от колебаний температуры и давления.  В основе </w:t>
      </w:r>
      <w:hyperlink r:id="rId2">
        <w:r>
          <w:rPr>
            <w:rFonts w:ascii="Calibri" w:hAnsi="Calibri"/>
            <w:b/>
            <w:bCs/>
            <w:color w:val="000000"/>
            <w:sz w:val="24"/>
            <w:szCs w:val="24"/>
            <w:u w:val="none"/>
          </w:rPr>
          <w:t>молекулярно-кинетической теории</w:t>
        </w:r>
      </w:hyperlink>
      <w:r>
        <w:rPr>
          <w:rStyle w:val="Style8"/>
          <w:rFonts w:ascii="Calibri" w:hAnsi="Calibri"/>
          <w:b/>
          <w:bCs/>
          <w:color w:val="000000"/>
          <w:sz w:val="24"/>
          <w:szCs w:val="24"/>
          <w:u w:val="none"/>
        </w:rPr>
        <w:t xml:space="preserve"> </w:t>
      </w:r>
      <w:r>
        <w:rPr>
          <w:rFonts w:ascii="Calibri" w:hAnsi="Calibri"/>
          <w:color w:val="000000"/>
          <w:sz w:val="24"/>
          <w:szCs w:val="24"/>
        </w:rPr>
        <w:t xml:space="preserve">строения вещества лежат три положения:  1.   </w:t>
      </w:r>
      <w:r>
        <w:rPr>
          <w:rFonts w:ascii="Calibri" w:hAnsi="Calibri"/>
          <w:b w:val="false"/>
          <w:bCs w:val="false"/>
          <w:i/>
          <w:iCs/>
          <w:color w:val="000000"/>
          <w:sz w:val="24"/>
          <w:szCs w:val="24"/>
        </w:rPr>
        <w:t>Все вещества состоят из мельчайших частиц – молекул и атомов. Молекулы разделены промежутками.</w:t>
      </w:r>
      <w:r>
        <w:rPr>
          <w:rFonts w:ascii="Calibri" w:hAnsi="Calibri"/>
          <w:color w:val="000000"/>
          <w:sz w:val="24"/>
          <w:szCs w:val="24"/>
        </w:rPr>
        <w:t xml:space="preserve">     2.  </w:t>
      </w:r>
      <w:r>
        <w:rPr>
          <w:rFonts w:ascii="Calibri" w:hAnsi="Calibri"/>
          <w:i/>
          <w:iCs/>
          <w:color w:val="000000"/>
          <w:sz w:val="24"/>
          <w:szCs w:val="24"/>
        </w:rPr>
        <w:t xml:space="preserve">Молекулы находятся в беспрерывном хаотическом движении. </w:t>
      </w:r>
      <w:r>
        <w:rPr>
          <w:rFonts w:ascii="Calibri" w:hAnsi="Calibri"/>
          <w:color w:val="000000"/>
          <w:sz w:val="24"/>
          <w:szCs w:val="24"/>
        </w:rPr>
        <w:t xml:space="preserve">       3.  </w:t>
      </w:r>
      <w:r>
        <w:rPr>
          <w:rFonts w:ascii="Calibri" w:hAnsi="Calibri"/>
          <w:i/>
          <w:iCs/>
          <w:color w:val="000000"/>
          <w:sz w:val="24"/>
          <w:szCs w:val="24"/>
        </w:rPr>
        <w:t>Между молекулами существуют силы взаимодействия (притяжение и отталкивание).</w:t>
      </w:r>
    </w:p>
    <w:p>
      <w:pPr>
        <w:pStyle w:val="Style13"/>
        <w:widowControl/>
        <w:suppressAutoHyphens w:val="true"/>
        <w:bidi w:val="0"/>
        <w:spacing w:lineRule="auto" w:line="276"/>
        <w:ind w:left="0" w:right="-680" w:hanging="0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Плазму называют четвертым агрегатным состоянием вещества. Плазма — это ионизированный горячий газ.</w:t>
      </w:r>
    </w:p>
    <w:p>
      <w:pPr>
        <w:pStyle w:val="Style13"/>
        <w:bidi w:val="0"/>
        <w:rPr>
          <w:rFonts w:ascii="Calibri" w:hAnsi="Calibri"/>
        </w:rPr>
      </w:pPr>
      <w:r>
        <w:rPr>
          <w:rFonts w:ascii="Calibri" w:hAnsi="Calibri"/>
        </w:rPr>
        <w:t xml:space="preserve">Движение молекул доказывает существование явления диффузии. </w:t>
      </w:r>
    </w:p>
    <w:p>
      <w:pPr>
        <w:pStyle w:val="Style13"/>
        <w:bidi w:val="0"/>
        <w:rPr/>
      </w:pPr>
      <w:r>
        <w:rPr>
          <w:rStyle w:val="Style9"/>
          <w:rFonts w:ascii="Calibri" w:hAnsi="Calibri"/>
        </w:rPr>
        <w:t>Диффузия — перемешивание веществ без постороннего воздействия.</w:t>
      </w:r>
    </w:p>
    <w:p>
      <w:pPr>
        <w:pStyle w:val="Style13"/>
        <w:rPr>
          <w:rFonts w:ascii="Calibri" w:hAnsi="Calibri"/>
        </w:rPr>
      </w:pPr>
      <w:r>
        <w:rPr>
          <w:rFonts w:ascii="Calibri" w:hAnsi="Calibri"/>
        </w:rPr>
        <w:t>Чем быстрее молекулы движутся, тем выше температура вещества. И наоборот. Поэтому скорость диффузии зависит от температуры вещества.</w:t>
      </w:r>
    </w:p>
    <w:p>
      <w:pPr>
        <w:pStyle w:val="Style13"/>
        <w:rPr/>
      </w:pPr>
      <w:r>
        <w:rPr>
          <w:rStyle w:val="Style9"/>
          <w:rFonts w:ascii="Calibri" w:hAnsi="Calibri"/>
        </w:rPr>
        <w:t>Броуновское движение — тепловое движение частиц под действием молекул вещества, в котором эти частицы взвешены.</w:t>
      </w:r>
    </w:p>
    <w:p>
      <w:pPr>
        <w:pStyle w:val="Style13"/>
        <w:widowControl/>
        <w:suppressAutoHyphens w:val="true"/>
        <w:bidi w:val="0"/>
        <w:spacing w:lineRule="auto" w:line="276"/>
        <w:ind w:left="0" w:right="-680" w:hanging="0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yle13"/>
        <w:widowControl/>
        <w:suppressAutoHyphens w:val="true"/>
        <w:bidi w:val="0"/>
        <w:spacing w:lineRule="auto" w:line="276"/>
        <w:ind w:left="0" w:right="-680" w:hanging="0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yle13"/>
        <w:widowControl/>
        <w:suppressAutoHyphens w:val="true"/>
        <w:bidi w:val="0"/>
        <w:spacing w:lineRule="auto" w:line="276"/>
        <w:ind w:left="0" w:right="-680" w:hanging="0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yle13"/>
        <w:widowControl/>
        <w:suppressAutoHyphens w:val="true"/>
        <w:bidi w:val="0"/>
        <w:spacing w:lineRule="auto" w:line="276"/>
        <w:ind w:left="0" w:right="-680" w:hanging="0"/>
        <w:jc w:val="both"/>
        <w:rPr>
          <w:rFonts w:ascii="Calibri" w:hAnsi="Calibri"/>
          <w:color w:val="000000"/>
          <w:sz w:val="24"/>
          <w:szCs w:val="24"/>
        </w:rPr>
      </w:pPr>
      <w:r>
        <w:rPr>
          <w:rStyle w:val="Style8"/>
        </w:rPr>
        <w:t>Модели строения газа, жидкости и твёрдого тела</w:t>
      </w:r>
    </w:p>
    <w:p>
      <w:pPr>
        <w:pStyle w:val="Style13"/>
        <w:widowControl/>
        <w:suppressAutoHyphens w:val="true"/>
        <w:bidi w:val="0"/>
        <w:spacing w:lineRule="auto" w:line="276"/>
        <w:ind w:left="0" w:right="-680" w:hanging="0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yle13"/>
        <w:widowControl/>
        <w:suppressAutoHyphens w:val="true"/>
        <w:bidi w:val="0"/>
        <w:spacing w:lineRule="auto" w:line="276"/>
        <w:ind w:left="0" w:right="-680" w:hanging="0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yle13"/>
        <w:widowControl/>
        <w:suppressAutoHyphens w:val="true"/>
        <w:bidi w:val="0"/>
        <w:spacing w:lineRule="auto" w:line="276"/>
        <w:ind w:left="0" w:right="-680" w:hanging="0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yle13"/>
        <w:widowControl/>
        <w:suppressAutoHyphens w:val="true"/>
        <w:bidi w:val="0"/>
        <w:spacing w:lineRule="auto" w:line="276"/>
        <w:ind w:left="0" w:right="-680" w:hanging="0"/>
        <w:jc w:val="both"/>
        <w:rPr>
          <w:rFonts w:ascii="Calibri" w:hAnsi="Calibri"/>
          <w:color w:val="000000"/>
          <w:sz w:val="24"/>
          <w:szCs w:val="24"/>
        </w:rPr>
      </w:pPr>
      <w:r>
        <w:rPr/>
        <w:drawing>
          <wp:inline distT="0" distB="0" distL="0" distR="0">
            <wp:extent cx="9013825" cy="456692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38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widowControl/>
        <w:suppressAutoHyphens w:val="true"/>
        <w:bidi w:val="0"/>
        <w:spacing w:lineRule="auto" w:line="276"/>
        <w:ind w:left="0" w:right="-680" w:hanging="0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yle13"/>
        <w:widowControl/>
        <w:suppressAutoHyphens w:val="true"/>
        <w:bidi w:val="0"/>
        <w:spacing w:lineRule="auto" w:line="276"/>
        <w:ind w:left="0" w:right="-680" w:hanging="0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yle13"/>
        <w:widowControl/>
        <w:suppressAutoHyphens w:val="true"/>
        <w:bidi w:val="0"/>
        <w:spacing w:lineRule="auto" w:line="276"/>
        <w:ind w:left="0" w:right="-680" w:hanging="0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yle13"/>
        <w:widowControl/>
        <w:suppressAutoHyphens w:val="true"/>
        <w:bidi w:val="0"/>
        <w:spacing w:lineRule="auto" w:line="276"/>
        <w:ind w:left="0" w:right="-680" w:hanging="0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yle13"/>
        <w:widowControl/>
        <w:spacing w:before="0" w:after="225"/>
        <w:ind w:left="0" w:right="0" w:hanging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Style13"/>
        <w:widowControl/>
        <w:suppressAutoHyphens w:val="true"/>
        <w:bidi w:val="0"/>
        <w:spacing w:lineRule="auto" w:line="276"/>
        <w:ind w:left="0" w:right="-680" w:hanging="0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2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/>
          <w:iCs/>
          <w:caps w:val="false"/>
          <w:smallCaps w:val="false"/>
          <w:color w:val="193D00"/>
          <w:spacing w:val="0"/>
          <w:sz w:val="24"/>
          <w:szCs w:val="24"/>
        </w:rPr>
        <w:t>Строение твердых, жидких и газообразных веществ</w:t>
      </w:r>
    </w:p>
    <w:tbl>
      <w:tblPr>
        <w:tblW w:w="13958" w:type="dxa"/>
        <w:jc w:val="left"/>
        <w:tblInd w:w="-15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3418"/>
        <w:gridCol w:w="2959"/>
        <w:gridCol w:w="3678"/>
        <w:gridCol w:w="3902"/>
      </w:tblGrid>
      <w:tr>
        <w:trPr/>
        <w:tc>
          <w:tcPr>
            <w:tcW w:w="3418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59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Style w:val="Style8"/>
                <w:rFonts w:ascii="inherit" w:hAnsi="inherit"/>
                <w:b/>
                <w:sz w:val="21"/>
              </w:rPr>
              <w:t>Твердое тело</w:t>
            </w:r>
          </w:p>
        </w:tc>
        <w:tc>
          <w:tcPr>
            <w:tcW w:w="3678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Style w:val="Style8"/>
                <w:rFonts w:ascii="inherit" w:hAnsi="inherit"/>
                <w:b/>
                <w:sz w:val="21"/>
              </w:rPr>
              <w:t>Жидкость</w:t>
            </w:r>
          </w:p>
        </w:tc>
        <w:tc>
          <w:tcPr>
            <w:tcW w:w="3902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Style w:val="Style8"/>
                <w:rFonts w:ascii="inherit" w:hAnsi="inherit"/>
                <w:b/>
                <w:sz w:val="21"/>
              </w:rPr>
              <w:t>Газ</w:t>
            </w:r>
          </w:p>
        </w:tc>
      </w:tr>
      <w:tr>
        <w:trPr/>
        <w:tc>
          <w:tcPr>
            <w:tcW w:w="3418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Строение</w:t>
            </w:r>
          </w:p>
        </w:tc>
        <w:tc>
          <w:tcPr>
            <w:tcW w:w="2959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drawing>
                <wp:inline distT="0" distB="0" distL="0" distR="0">
                  <wp:extent cx="1152525" cy="1019175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drawing>
                <wp:inline distT="0" distB="0" distL="0" distR="0">
                  <wp:extent cx="1371600" cy="914400"/>
                  <wp:effectExtent l="0" t="0" r="0" b="0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2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drawing>
                <wp:inline distT="0" distB="0" distL="0" distR="0">
                  <wp:extent cx="1152525" cy="971550"/>
                  <wp:effectExtent l="0" t="0" r="0" b="0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418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Расстояние между молекулами</w:t>
            </w:r>
          </w:p>
        </w:tc>
        <w:tc>
          <w:tcPr>
            <w:tcW w:w="2959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Сравнимо с размером молекул</w:t>
            </w:r>
          </w:p>
        </w:tc>
        <w:tc>
          <w:tcPr>
            <w:tcW w:w="3678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Чуть больше, чем в твердом состоянии</w:t>
            </w:r>
          </w:p>
        </w:tc>
        <w:tc>
          <w:tcPr>
            <w:tcW w:w="3902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Многократно превышает размеры молекул</w:t>
            </w:r>
          </w:p>
        </w:tc>
      </w:tr>
      <w:tr>
        <w:trPr/>
        <w:tc>
          <w:tcPr>
            <w:tcW w:w="3418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Характер движения</w:t>
            </w:r>
          </w:p>
        </w:tc>
        <w:tc>
          <w:tcPr>
            <w:tcW w:w="2959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Колебательное</w:t>
            </w:r>
          </w:p>
        </w:tc>
        <w:tc>
          <w:tcPr>
            <w:tcW w:w="3678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Скачкообразное</w:t>
            </w:r>
          </w:p>
        </w:tc>
        <w:tc>
          <w:tcPr>
            <w:tcW w:w="3902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Хаотическое</w:t>
            </w:r>
          </w:p>
        </w:tc>
      </w:tr>
      <w:tr>
        <w:trPr/>
        <w:tc>
          <w:tcPr>
            <w:tcW w:w="3418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Скорости молекул</w:t>
            </w:r>
          </w:p>
        </w:tc>
        <w:tc>
          <w:tcPr>
            <w:tcW w:w="2959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Малы</w:t>
            </w:r>
          </w:p>
        </w:tc>
        <w:tc>
          <w:tcPr>
            <w:tcW w:w="3678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Скорее малы</w:t>
            </w:r>
          </w:p>
        </w:tc>
        <w:tc>
          <w:tcPr>
            <w:tcW w:w="3902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Огромны</w:t>
            </w:r>
          </w:p>
        </w:tc>
      </w:tr>
      <w:tr>
        <w:trPr/>
        <w:tc>
          <w:tcPr>
            <w:tcW w:w="3418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Взаимодействие между молекулами</w:t>
            </w:r>
          </w:p>
        </w:tc>
        <w:tc>
          <w:tcPr>
            <w:tcW w:w="2959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Наибольшее</w:t>
            </w:r>
          </w:p>
        </w:tc>
        <w:tc>
          <w:tcPr>
            <w:tcW w:w="3678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Меньше, чем у твердых тел</w:t>
            </w:r>
          </w:p>
        </w:tc>
        <w:tc>
          <w:tcPr>
            <w:tcW w:w="3902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Наименьшее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2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/>
          <w:iCs/>
          <w:caps w:val="false"/>
          <w:smallCaps w:val="false"/>
          <w:color w:val="193D00"/>
          <w:spacing w:val="0"/>
          <w:sz w:val="24"/>
          <w:szCs w:val="24"/>
        </w:rPr>
        <w:t>Свойства твердых, жидких и газообразных веществ</w:t>
      </w:r>
    </w:p>
    <w:tbl>
      <w:tblPr>
        <w:tblW w:w="10564" w:type="dxa"/>
        <w:jc w:val="left"/>
        <w:tblInd w:w="-15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3943"/>
        <w:gridCol w:w="2182"/>
        <w:gridCol w:w="2223"/>
        <w:gridCol w:w="2215"/>
      </w:tblGrid>
      <w:tr>
        <w:trPr/>
        <w:tc>
          <w:tcPr>
            <w:tcW w:w="3943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Style w:val="Style8"/>
                <w:rFonts w:ascii="inherit" w:hAnsi="inherit"/>
                <w:b/>
                <w:sz w:val="21"/>
              </w:rPr>
              <w:t>Агрегатное состояние вещества</w:t>
            </w:r>
          </w:p>
        </w:tc>
        <w:tc>
          <w:tcPr>
            <w:tcW w:w="2182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Style w:val="Style8"/>
                <w:rFonts w:ascii="inherit" w:hAnsi="inherit"/>
                <w:b/>
                <w:sz w:val="21"/>
              </w:rPr>
              <w:t>Сохраняет объем</w:t>
            </w:r>
          </w:p>
        </w:tc>
        <w:tc>
          <w:tcPr>
            <w:tcW w:w="2223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Style w:val="Style8"/>
                <w:rFonts w:ascii="inherit" w:hAnsi="inherit"/>
                <w:b/>
                <w:sz w:val="21"/>
              </w:rPr>
              <w:t>Сохраняет форму</w:t>
            </w:r>
          </w:p>
        </w:tc>
        <w:tc>
          <w:tcPr>
            <w:tcW w:w="2215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Style w:val="Style8"/>
                <w:rFonts w:ascii="inherit" w:hAnsi="inherit"/>
                <w:b/>
                <w:sz w:val="21"/>
              </w:rPr>
              <w:t>Особые свойства</w:t>
            </w:r>
          </w:p>
        </w:tc>
      </w:tr>
      <w:tr>
        <w:trPr/>
        <w:tc>
          <w:tcPr>
            <w:tcW w:w="3943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Твердое тело</w:t>
            </w:r>
          </w:p>
        </w:tc>
        <w:tc>
          <w:tcPr>
            <w:tcW w:w="2182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+</w:t>
            </w:r>
          </w:p>
        </w:tc>
        <w:tc>
          <w:tcPr>
            <w:tcW w:w="2223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+</w:t>
            </w:r>
          </w:p>
        </w:tc>
        <w:tc>
          <w:tcPr>
            <w:tcW w:w="2215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–</w:t>
            </w:r>
          </w:p>
        </w:tc>
      </w:tr>
      <w:tr>
        <w:trPr/>
        <w:tc>
          <w:tcPr>
            <w:tcW w:w="3943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Жидкость</w:t>
            </w:r>
          </w:p>
        </w:tc>
        <w:tc>
          <w:tcPr>
            <w:tcW w:w="2182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+</w:t>
            </w:r>
          </w:p>
        </w:tc>
        <w:tc>
          <w:tcPr>
            <w:tcW w:w="2223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–</w:t>
            </w:r>
          </w:p>
        </w:tc>
        <w:tc>
          <w:tcPr>
            <w:tcW w:w="2215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Текучесть</w:t>
            </w:r>
          </w:p>
        </w:tc>
      </w:tr>
      <w:tr>
        <w:trPr/>
        <w:tc>
          <w:tcPr>
            <w:tcW w:w="3943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Газ</w:t>
            </w:r>
          </w:p>
        </w:tc>
        <w:tc>
          <w:tcPr>
            <w:tcW w:w="2182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–</w:t>
            </w:r>
          </w:p>
        </w:tc>
        <w:tc>
          <w:tcPr>
            <w:tcW w:w="2223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–</w:t>
            </w:r>
          </w:p>
        </w:tc>
        <w:tc>
          <w:tcPr>
            <w:tcW w:w="2215" w:type="dxa"/>
            <w:tcBorders>
              <w:top w:val="single" w:sz="12" w:space="0" w:color="B1EAB1"/>
              <w:left w:val="single" w:sz="12" w:space="0" w:color="B1EAB1"/>
              <w:bottom w:val="single" w:sz="12" w:space="0" w:color="B1EAB1"/>
              <w:right w:val="single" w:sz="12" w:space="0" w:color="B1EAB1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ind w:left="0" w:right="0" w:hanging="0"/>
              <w:jc w:val="center"/>
              <w:rPr>
                <w:rFonts w:ascii="inherit" w:hAnsi="inherit" w:eastAsia="inherit" w:cs="inherit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inherit" w:hAnsi="inherit"/>
                <w:b w:val="false"/>
                <w:sz w:val="21"/>
              </w:rPr>
              <w:t>Летучесть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Style13"/>
        <w:bidi w:val="0"/>
        <w:jc w:val="left"/>
        <w:rPr>
          <w:rFonts w:ascii="Calibri" w:hAnsi="Calibri"/>
          <w:sz w:val="24"/>
          <w:szCs w:val="24"/>
        </w:rPr>
      </w:pPr>
      <w:r>
        <w:rPr/>
      </w:r>
    </w:p>
    <w:p>
      <w:pPr>
        <w:pStyle w:val="Style13"/>
        <w:widowControl/>
        <w:rPr>
          <w:lang w:val="ru-RU"/>
        </w:rPr>
      </w:pPr>
      <w:r>
        <w:rPr>
          <w:lang w:val="ru-RU"/>
        </w:rPr>
        <w:t xml:space="preserve">Фазовые переходы: изменение агрегатных состояний вещества </w:t>
        <w:br/>
        <w:t>Расположение молекул воды в 3-х агрегатных состояниях:</w:t>
      </w:r>
    </w:p>
    <w:p>
      <w:pPr>
        <w:pStyle w:val="Style13"/>
        <w:widowControl/>
        <w:rPr>
          <w:rFonts w:ascii="Calibri" w:hAnsi="Calibri"/>
          <w:sz w:val="24"/>
          <w:szCs w:val="24"/>
        </w:rPr>
      </w:pPr>
      <w:r>
        <w:rPr/>
      </w:r>
    </w:p>
    <w:p>
      <w:pPr>
        <w:pStyle w:val="Style13"/>
        <w:widowControl/>
        <w:jc w:val="center"/>
        <w:rPr>
          <w:rFonts w:ascii="Calibri" w:hAnsi="Calibri"/>
          <w:sz w:val="24"/>
          <w:szCs w:val="24"/>
        </w:rPr>
      </w:pPr>
      <w:r>
        <w:rPr/>
        <w:drawing>
          <wp:inline distT="0" distB="0" distL="0" distR="0">
            <wp:extent cx="2857500" cy="2295525"/>
            <wp:effectExtent l="0" t="0" r="0" b="0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widowControl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sectPr>
          <w:headerReference w:type="default" r:id="rId8"/>
          <w:footerReference w:type="default" r:id="rId9"/>
          <w:type w:val="nextPage"/>
          <w:pgSz w:orient="landscape" w:w="16838" w:h="11906"/>
          <w:pgMar w:left="1440" w:right="1440" w:gutter="0" w:header="720" w:top="1440" w:footer="720" w:bottom="144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1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1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1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1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1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До какой температуры Т1 при постоянном давлении р=10^5 Па надо нагреть кислород, чтобы его плотность стала равна плотности водорода при том же давлении и температуре Т2 = 200 К?</w:t>
      </w:r>
    </w:p>
    <w:p>
      <w:pPr>
        <w:pStyle w:val="Style13"/>
        <w:bidi w:val="0"/>
        <w:rPr>
          <w:rFonts w:ascii="Calibri" w:hAnsi="Calibri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  <w:u w:val="single"/>
        </w:rPr>
        <w:t>Дано:</w:t>
      </w:r>
      <w:r>
        <w:rPr>
          <w:rFonts w:ascii="Calibri" w:hAnsi="Calibri"/>
          <w:sz w:val="24"/>
          <w:szCs w:val="24"/>
          <w:u w:val="none"/>
        </w:rPr>
        <w:t xml:space="preserve">      </w:t>
      </w:r>
      <w:r>
        <w:rPr>
          <w:rFonts w:ascii="Calibri" w:hAnsi="Calibri"/>
          <w:sz w:val="24"/>
          <w:szCs w:val="24"/>
        </w:rPr>
        <w:t>р = 10⁵Па - постоянное давление</w:t>
      </w:r>
    </w:p>
    <w:p>
      <w:pPr>
        <w:pStyle w:val="Style1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M₁  = 32 · 10⁻³ кг/моль - молярная масса молекулярного кислорода</w:t>
      </w:r>
    </w:p>
    <w:p>
      <w:pPr>
        <w:pStyle w:val="Style1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М₂ = 2 · 10⁻³ кг/моль - молярная масса молекулярного водорода</w:t>
      </w:r>
    </w:p>
    <w:p>
      <w:pPr>
        <w:pStyle w:val="Style1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Т₂ = 200К - температура водорода</w:t>
      </w:r>
    </w:p>
    <w:p>
      <w:pPr>
        <w:pStyle w:val="Style1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ро₁ = ро₂ - плотности кислорода и водорода</w:t>
      </w:r>
    </w:p>
    <w:p>
      <w:pPr>
        <w:pStyle w:val="Style1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 = 8,31 кг/(моль· К) - универсальная газовая постоянная</w:t>
      </w:r>
    </w:p>
    <w:p>
      <w:pPr>
        <w:pStyle w:val="Style1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Т₁ - ? - температура кислорода</w:t>
      </w:r>
    </w:p>
    <w:p>
      <w:pPr>
        <w:pStyle w:val="Style13"/>
        <w:rPr>
          <w:rFonts w:ascii="Calibri" w:hAnsi="Calibri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  <w:u w:val="single"/>
        </w:rPr>
        <w:t>Решение.</w:t>
      </w:r>
    </w:p>
    <w:p>
      <w:pPr>
        <w:pStyle w:val="Style1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Из уравнения Клапейрона-Менделеева плотность равна</w:t>
      </w:r>
    </w:p>
    <w:p>
      <w:pPr>
        <w:pStyle w:val="Style1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ро = р · R · T/M</w:t>
      </w:r>
    </w:p>
    <w:p>
      <w:pPr>
        <w:pStyle w:val="Style1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po₁ = p · R · T₁ / M₁ - плотность кислорода</w:t>
      </w:r>
    </w:p>
    <w:p>
      <w:pPr>
        <w:pStyle w:val="Style1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ро₂ = р · R · T₂/M₂ - плотность водорода</w:t>
      </w:r>
    </w:p>
    <w:p>
      <w:pPr>
        <w:pStyle w:val="Style1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По условию ро₁ = ро₂, тогда</w:t>
      </w:r>
    </w:p>
    <w:p>
      <w:pPr>
        <w:pStyle w:val="Style1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 · R · T₁ / M₁ = р · R · T₂/M₂ , или T₁ / M₁ = T₂/M₂, откуда</w:t>
      </w:r>
    </w:p>
    <w:p>
      <w:pPr>
        <w:pStyle w:val="Style1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T₁ = M₁ · T₂/M₂</w:t>
      </w:r>
    </w:p>
    <w:p>
      <w:pPr>
        <w:pStyle w:val="Style1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T₁ = 32 · 10⁻³ · 200 : 2 · 10⁻³ = 3200 (К)</w:t>
      </w:r>
    </w:p>
    <w:p>
      <w:pPr>
        <w:pStyle w:val="Style1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Ответ: кислород следует нагреть до температуры 3200 К</w:t>
      </w:r>
    </w:p>
    <w:p>
      <w:pPr>
        <w:pStyle w:val="Style13"/>
        <w:bidi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-680" w:hanging="0"/>
        <w:jc w:val="lef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-680" w:hanging="0"/>
        <w:jc w:val="left"/>
        <w:rPr>
          <w:rFonts w:ascii="Calibri" w:hAnsi="Calibri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Calibri" w:hAnsi="Calibri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-794" w:firstLine="57"/>
        <w:jc w:val="both"/>
        <w:rPr>
          <w:rFonts w:ascii="Calibri" w:hAnsi="Calibri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/>
      </w:r>
    </w:p>
    <w:sectPr>
      <w:type w:val="continuous"/>
      <w:pgSz w:orient="landscape" w:w="16838" w:h="11906"/>
      <w:pgMar w:left="1440" w:right="1440" w:gutter="0" w:header="720" w:top="1440" w:footer="720" w:bottom="144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inheri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true"/>
      <w:bidi w:val="0"/>
      <w:spacing w:lineRule="auto" w:line="276" w:before="0" w:after="0"/>
      <w:ind w:left="0" w:right="-794" w:firstLine="57"/>
      <w:jc w:val="both"/>
      <w:rPr>
        <w:rFonts w:ascii="Calibri" w:hAnsi="Calibri"/>
        <w:color w:val="000000"/>
        <w:sz w:val="24"/>
        <w:szCs w:val="24"/>
      </w:rPr>
    </w:pPr>
    <w:r>
      <w:rPr>
        <w:rFonts w:ascii="Calibri" w:hAnsi="Calibri"/>
        <w:color w:val="000000"/>
        <w:sz w:val="24"/>
        <w:szCs w:val="24"/>
      </w:rPr>
    </w:r>
  </w:p>
  <w:p>
    <w:pPr>
      <w:pStyle w:val="Normal"/>
      <w:widowControl/>
      <w:suppressAutoHyphens w:val="true"/>
      <w:bidi w:val="0"/>
      <w:spacing w:lineRule="auto" w:line="276" w:before="0" w:after="0"/>
      <w:ind w:left="0" w:right="-794" w:firstLine="57"/>
      <w:jc w:val="both"/>
      <w:rPr>
        <w:rFonts w:ascii="Calibri" w:hAnsi="Calibri"/>
        <w:color w:val="000000"/>
        <w:sz w:val="24"/>
        <w:szCs w:val="24"/>
      </w:rPr>
    </w:pPr>
    <w:r>
      <w:rPr>
        <w:rFonts w:ascii="Calibri" w:hAnsi="Calibri"/>
        <w:color w:val="000000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8"/>
        <w:szCs w:val="28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NSimSun" w:cs="Lucida Sans"/>
      <w:color w:val="auto"/>
      <w:kern w:val="0"/>
      <w:sz w:val="28"/>
      <w:szCs w:val="28"/>
      <w:lang w:val="en-GB" w:eastAsia="zh-CN" w:bidi="hi-IN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Выделение жирным"/>
    <w:qFormat/>
    <w:rPr>
      <w:b/>
      <w:bCs/>
    </w:rPr>
  </w:style>
  <w:style w:type="character" w:styleId="Style9">
    <w:name w:val="Выделение"/>
    <w:qFormat/>
    <w:rPr>
      <w:i/>
      <w:iCs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NSimSun" w:cs="Lucida Sans"/>
      <w:color w:val="auto"/>
      <w:kern w:val="0"/>
      <w:sz w:val="28"/>
      <w:szCs w:val="28"/>
      <w:lang w:val="en-GB" w:eastAsia="zh-CN" w:bidi="hi-IN"/>
    </w:rPr>
  </w:style>
  <w:style w:type="paragraph" w:styleId="Style17">
    <w:name w:val="Title"/>
    <w:basedOn w:val="Normal"/>
    <w:next w:val="Normal"/>
    <w:uiPriority w:val="10"/>
    <w:qFormat/>
    <w:pPr>
      <w:keepNext w:val="true"/>
      <w:keepLines/>
      <w:spacing w:before="0" w:after="60"/>
      <w:jc w:val="center"/>
    </w:pPr>
    <w:rPr>
      <w:b/>
      <w:sz w:val="32"/>
      <w:szCs w:val="32"/>
    </w:rPr>
  </w:style>
  <w:style w:type="paragraph" w:styleId="Style18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Style19"/>
    <w:pPr/>
    <w:rPr/>
  </w:style>
  <w:style w:type="paragraph" w:styleId="Style21">
    <w:name w:val="Footer"/>
    <w:basedOn w:val="Style19"/>
    <w:pPr/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chitel.pro/&#1084;&#1086;&#1083;&#1077;&#1082;&#1091;&#1083;&#1103;&#1088;&#1085;&#1086;-&#1082;&#1080;&#1085;&#1077;&#1090;&#1080;&#1095;&#1077;&#1089;&#1082;&#1072;&#1103;-&#1090;&#1077;&#1086;&#1088;&#1080;&#1103;/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/W4YaCfuA+t/hJ6Cnr3b2cFXhlw==">AMUW2mXyczpzoK5MQhnysPZp/KFpE9v+Pbt4ASuGLlbGPSYdzldl/eNd9ZcJV/m0IsMLEaDllZPbLiGM1MBZodUXE17rNVtjo63OatpKC6DjTT/CKJo7c0yFnrmlSBFWikkN6XaNXM7IdJKorYXLD8NIbWtmdOV9lA+RzJg+emGklDbVZ41IGXSPbrUy+DAJxJgDTaY51f0+DZeKhmLRYQ8UXdztVpxLiX5Yb4eaN/nHV7KcD+iPLKbVRMzacVt/og5kKa+KLxZfb3c6EFYGlkqRQj6bciFjFB/Ca08jZq7SYPJdctLPx0K472KxczEFKr5QFai7VNGdrIWUiVLz6bUZX6HhFKTjwncqKjGYPZ43ft9ah1GSAgPqwr9jdyYtf5kLoCKaB5finf0SyCru2pV9Lbgw0HkMySmMaAZZZI94Gtvfkj9eFzQCecdKABwPdpRdamy4fUzSXjFdWkke2Qa+6u1rE5Jl3v639Dz/N+Q8bD4eucJ/QLtoNDptv0PKR304gfhribjt7zo3ZnS6BrgOfcSxMCyy7KoXxC7MPPkawERIhrB+4dVucsH4IBi+hLwzChpC2OhC2pqp6u3AkGJ6WYI7pe8YI8OjBqMc6MxN4HnO97Gv4P/S51pui9BuCR5/TBpUGrk5A1vxfzeL1TiQDByZRbuZk75VVn0U+6NKE0jqngWnNxFEQtUiU0GwRXSovhcU/LCvF6lzOP6iDAq8ECQ4o2EyCtg6iHq4MKiXj1vq5L9/lhKkoMisC1NMKNdo/74ezF0eO96XAOphrFZbJia3P8Uiig0LZDJ9Hyan7L/tT09I8iHYSTsK/NfvGifNLDsHtlFzrlvxrY2DU7xTAZLouzGVqSnhzs3JZUXO7Wg2ss6hko4qEDyR4W1z3QS/tsbKVCkXwfes4I1muM9YK2yWzrpwcBcOAjm1mInkZyZIOmDKjq8A0IARCn+g1K7xZk8ul3u4NYdOJScz+HFFENzfWWJAAPYN25fz3zhDM8Hztov0G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LibreOffice/7.2.5.2$Windows_X86_64 LibreOffice_project/499f9727c189e6ef3471021d6132d4c694f357e5</Application>
  <AppVersion>15.0000</AppVersion>
  <Pages>6</Pages>
  <Words>473</Words>
  <Characters>2475</Characters>
  <CharactersWithSpaces>2879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2021-09-17T12:03:00Z</dcterms:created>
  <dc:creator/>
  <dc:description/>
  <dc:language>ru-RU</dc:language>
  <cp:lastModifiedBy/>
  <dcterms:modified xsi:type="dcterms:W3CDTF">2023-03-27T17:55:12Z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