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LE GALL Zoé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27/09/2002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11.96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13.85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15.20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15.40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15.88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17.50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16.75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14.25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