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F34E88">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金融大数据期末大作业小组报告</w:t>
      </w:r>
    </w:p>
    <w:p w14:paraId="5F7922F7">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小组成员：</w:t>
      </w:r>
    </w:p>
    <w:p w14:paraId="23BBDEA1">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2024100893</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郭昭芃</w:t>
      </w:r>
    </w:p>
    <w:p w14:paraId="680B266E">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2024100908</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金威廷</w:t>
      </w:r>
    </w:p>
    <w:p w14:paraId="6CD36F3C">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2024100924</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李宇杰</w:t>
      </w:r>
    </w:p>
    <w:p w14:paraId="5AA77263">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小组代码仓库：</w:t>
      </w:r>
    </w:p>
    <w:p w14:paraId="2131543E">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https://github.com/Githubjinwt/Empirical-Asset-Pricing-via-Machine-Learning</w:t>
      </w:r>
    </w:p>
    <w:p w14:paraId="78EE2C78">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ascii="宋体" w:hAnsi="宋体" w:eastAsia="宋体" w:cs="宋体"/>
          <w:sz w:val="21"/>
          <w:szCs w:val="21"/>
          <w:lang w:val="en-US" w:eastAsia="zh-CN"/>
        </w:rPr>
      </w:pPr>
    </w:p>
    <w:p w14:paraId="33A09F1D">
      <w:pPr>
        <w:pStyle w:val="42"/>
        <w:keepNext w:val="0"/>
        <w:keepLines w:val="0"/>
        <w:pageBreakBefore w:val="0"/>
        <w:widowControl w:val="0"/>
        <w:numPr>
          <w:ilvl w:val="0"/>
          <w:numId w:val="4"/>
        </w:numPr>
        <w:kinsoku/>
        <w:wordWrap/>
        <w:overflowPunct/>
        <w:topLinePunct w:val="0"/>
        <w:autoSpaceDE/>
        <w:autoSpaceDN/>
        <w:bidi w:val="0"/>
        <w:adjustRightInd/>
        <w:snapToGrid/>
        <w:spacing w:line="480" w:lineRule="auto"/>
        <w:ind w:left="-420" w:leftChars="0" w:firstLine="420" w:firstLineChars="0"/>
        <w:textAlignment w:val="auto"/>
        <w:outlineLvl w:val="0"/>
        <w:rPr>
          <w:rFonts w:hint="eastAsia" w:ascii="黑体" w:hAnsi="黑体" w:eastAsia="黑体" w:cs="黑体"/>
          <w:sz w:val="28"/>
          <w:szCs w:val="28"/>
        </w:rPr>
      </w:pPr>
      <w:r>
        <w:rPr>
          <w:rFonts w:hint="eastAsia" w:ascii="黑体" w:hAnsi="黑体" w:eastAsia="黑体" w:cs="黑体"/>
          <w:sz w:val="28"/>
          <w:szCs w:val="28"/>
        </w:rPr>
        <w:t>数据</w:t>
      </w:r>
    </w:p>
    <w:p w14:paraId="6373CD2E">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 xml:space="preserve">1.1 </w:t>
      </w:r>
      <w:r>
        <w:rPr>
          <w:rFonts w:hint="eastAsia" w:ascii="黑体" w:hAnsi="黑体" w:eastAsia="黑体" w:cs="黑体"/>
          <w:sz w:val="24"/>
          <w:szCs w:val="24"/>
        </w:rPr>
        <w:t>数据和样本介绍</w:t>
      </w:r>
    </w:p>
    <w:p w14:paraId="304363E2">
      <w:pPr>
        <w:keepNext w:val="0"/>
        <w:keepLines w:val="0"/>
        <w:pageBreakBefore w:val="0"/>
        <w:widowControl w:val="0"/>
        <w:kinsoku/>
        <w:wordWrap/>
        <w:overflowPunct/>
        <w:topLinePunct w:val="0"/>
        <w:autoSpaceDE/>
        <w:autoSpaceDN/>
        <w:bidi w:val="0"/>
        <w:adjustRightInd/>
        <w:snapToGrid/>
        <w:spacing w:line="480" w:lineRule="auto"/>
        <w:ind w:lef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本小组</w:t>
      </w:r>
      <w:r>
        <w:rPr>
          <w:rFonts w:hint="eastAsia" w:ascii="宋体" w:hAnsi="宋体" w:eastAsia="宋体" w:cs="宋体"/>
          <w:sz w:val="24"/>
          <w:szCs w:val="24"/>
        </w:rPr>
        <w:t>选取</w:t>
      </w:r>
      <w:r>
        <w:rPr>
          <w:rFonts w:hint="eastAsia" w:ascii="宋体" w:hAnsi="宋体" w:eastAsia="宋体" w:cs="宋体"/>
          <w:sz w:val="24"/>
          <w:szCs w:val="24"/>
        </w:rPr>
        <w:t>中国A股作为研究样本，数据范围从2015年1月2日至2024年12月31日。共5578支股票，2431个交易日。数据频度为日频（部分报告期披露数据按照数据获取日期ffill到日频）。后续输入模型的数据频度可根据日频数据合成得到。所有数据均来源于WIND和朝阳永续（具体见</w:t>
      </w:r>
      <w:r>
        <w:rPr>
          <w:rFonts w:hint="eastAsia" w:ascii="宋体" w:hAnsi="宋体" w:eastAsia="宋体" w:cs="宋体"/>
          <w:sz w:val="24"/>
          <w:szCs w:val="24"/>
          <w:lang w:val="en-US" w:eastAsia="zh-CN"/>
        </w:rPr>
        <w:t>因子池文件</w:t>
      </w:r>
      <w:r>
        <w:rPr>
          <w:rFonts w:hint="eastAsia" w:ascii="宋体" w:hAnsi="宋体" w:eastAsia="宋体" w:cs="宋体"/>
          <w:sz w:val="24"/>
          <w:szCs w:val="24"/>
        </w:rPr>
        <w:t>）。</w:t>
      </w:r>
    </w:p>
    <w:p w14:paraId="0CA5ADA1">
      <w:pPr>
        <w:pStyle w:val="42"/>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 xml:space="preserve">1.2 </w:t>
      </w:r>
      <w:r>
        <w:rPr>
          <w:rFonts w:hint="eastAsia" w:ascii="黑体" w:hAnsi="黑体" w:eastAsia="黑体" w:cs="黑体"/>
          <w:sz w:val="24"/>
          <w:szCs w:val="24"/>
        </w:rPr>
        <w:t>因子构建</w:t>
      </w:r>
    </w:p>
    <w:p w14:paraId="7A7AC22C">
      <w:pPr>
        <w:bidi w:val="0"/>
        <w:spacing w:line="480" w:lineRule="auto"/>
        <w:rPr>
          <w:rFonts w:hint="eastAsia"/>
        </w:rPr>
      </w:pPr>
      <w:r>
        <w:rPr>
          <w:rFonts w:hint="eastAsia"/>
          <w:lang w:eastAsia="zh-CN"/>
        </w:rPr>
        <w:t>本小组</w:t>
      </w:r>
      <w:r>
        <w:rPr>
          <w:rFonts w:hint="eastAsia"/>
        </w:rPr>
        <w:t>手动构建了</w:t>
      </w:r>
      <w:r>
        <w:rPr>
          <w:rFonts w:hint="eastAsia"/>
          <w:lang w:val="en-US" w:eastAsia="zh-CN"/>
        </w:rPr>
        <w:t>共</w:t>
      </w:r>
      <w:r>
        <w:rPr>
          <w:rFonts w:hint="eastAsia"/>
        </w:rPr>
        <w:t>86个因子，包括19个基本面因子、33个另类因子、10个barra因子以及24个低频量价因子（具体见附录）。</w:t>
      </w:r>
      <w:r>
        <w:rPr>
          <w:rFonts w:hint="eastAsia"/>
          <w:lang w:eastAsia="zh-CN"/>
        </w:rPr>
        <w:t>本小组</w:t>
      </w:r>
      <w:r>
        <w:rPr>
          <w:rFonts w:hint="eastAsia"/>
        </w:rPr>
        <w:t>计算了86个因子之间的相关性，如下图所示。从图中可以看出，因子之间的相关性整体较弱，表明这些因子包含了全面且丰富的信息，能够有效捕捉股票收益的不同驱动因素。低相关性也意味着这些因子在组合使用时能够提供更好的分散效果，</w:t>
      </w:r>
      <w:r>
        <w:rPr>
          <w:rFonts w:hint="eastAsia"/>
          <w:lang w:val="en-US" w:eastAsia="zh-CN"/>
        </w:rPr>
        <w:t>从而</w:t>
      </w:r>
      <w:r>
        <w:rPr>
          <w:rFonts w:hint="eastAsia"/>
        </w:rPr>
        <w:t>降低模型过拟合的风险。</w:t>
      </w:r>
    </w:p>
    <w:p w14:paraId="57863175">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346065" cy="5615940"/>
            <wp:effectExtent l="0" t="0" r="13335" b="22860"/>
            <wp:docPr id="9699326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2658"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6065" cy="5615940"/>
                    </a:xfrm>
                    <a:prstGeom prst="rect">
                      <a:avLst/>
                    </a:prstGeom>
                  </pic:spPr>
                </pic:pic>
              </a:graphicData>
            </a:graphic>
          </wp:inline>
        </w:drawing>
      </w:r>
    </w:p>
    <w:p w14:paraId="55A7E9BC">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 xml:space="preserve">1.3 </w:t>
      </w:r>
      <w:r>
        <w:rPr>
          <w:rFonts w:hint="eastAsia" w:ascii="黑体" w:hAnsi="黑体" w:eastAsia="黑体" w:cs="黑体"/>
          <w:sz w:val="24"/>
          <w:szCs w:val="24"/>
        </w:rPr>
        <w:t>数据预处理</w:t>
      </w:r>
    </w:p>
    <w:p w14:paraId="5254DD23">
      <w:pPr>
        <w:keepNext w:val="0"/>
        <w:keepLines w:val="0"/>
        <w:pageBreakBefore w:val="0"/>
        <w:widowControl w:val="0"/>
        <w:kinsoku/>
        <w:wordWrap/>
        <w:overflowPunct/>
        <w:topLinePunct w:val="0"/>
        <w:autoSpaceDE/>
        <w:autoSpaceDN/>
        <w:bidi w:val="0"/>
        <w:adjustRightInd/>
        <w:snapToGrid/>
        <w:spacing w:line="480" w:lineRule="auto"/>
        <w:ind w:lef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由于不同因子量纲差异较大，</w:t>
      </w:r>
      <w:r>
        <w:rPr>
          <w:rFonts w:hint="eastAsia" w:ascii="宋体" w:hAnsi="宋体" w:cs="宋体"/>
          <w:sz w:val="24"/>
          <w:szCs w:val="24"/>
          <w:lang w:eastAsia="zh-CN"/>
        </w:rPr>
        <w:t>本小组</w:t>
      </w:r>
      <w:r>
        <w:rPr>
          <w:rFonts w:hint="eastAsia" w:ascii="宋体" w:hAnsi="宋体" w:eastAsia="宋体" w:cs="宋体"/>
          <w:sz w:val="24"/>
          <w:szCs w:val="24"/>
        </w:rPr>
        <w:t>对不同因子尝试了CSRank和CSZscore两种标准化方式。对CSRank标准化因子，</w:t>
      </w:r>
      <w:r>
        <w:rPr>
          <w:rFonts w:hint="eastAsia" w:ascii="宋体" w:hAnsi="宋体" w:cs="宋体"/>
          <w:sz w:val="24"/>
          <w:szCs w:val="24"/>
          <w:lang w:eastAsia="zh-CN"/>
        </w:rPr>
        <w:t>本小组</w:t>
      </w:r>
      <w:r>
        <w:rPr>
          <w:rFonts w:hint="eastAsia" w:ascii="宋体" w:hAnsi="宋体" w:eastAsia="宋体" w:cs="宋体"/>
          <w:sz w:val="24"/>
          <w:szCs w:val="24"/>
        </w:rPr>
        <w:t>用中位数填充缺失值，对于CSZscore标准化，</w:t>
      </w:r>
      <w:r>
        <w:rPr>
          <w:rFonts w:hint="eastAsia" w:ascii="宋体" w:hAnsi="宋体" w:cs="宋体"/>
          <w:sz w:val="24"/>
          <w:szCs w:val="24"/>
          <w:lang w:eastAsia="zh-CN"/>
        </w:rPr>
        <w:t>本小组</w:t>
      </w:r>
      <w:r>
        <w:rPr>
          <w:rFonts w:hint="eastAsia" w:ascii="宋体" w:hAnsi="宋体" w:eastAsia="宋体" w:cs="宋体"/>
          <w:sz w:val="24"/>
          <w:szCs w:val="24"/>
        </w:rPr>
        <w:t>用0填充缺失值。</w:t>
      </w:r>
    </w:p>
    <w:p w14:paraId="553B927D">
      <w:pPr>
        <w:keepNext w:val="0"/>
        <w:keepLines w:val="0"/>
        <w:pageBreakBefore w:val="0"/>
        <w:widowControl w:val="0"/>
        <w:kinsoku/>
        <w:wordWrap/>
        <w:overflowPunct/>
        <w:topLinePunct w:val="0"/>
        <w:autoSpaceDE/>
        <w:autoSpaceDN/>
        <w:bidi w:val="0"/>
        <w:adjustRightInd/>
        <w:snapToGrid/>
        <w:spacing w:line="480" w:lineRule="auto"/>
        <w:ind w:left="0"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原始因子数据为日频数据。但日频数据可能存在噪音过大的问题，因此</w:t>
      </w:r>
      <w:r>
        <w:rPr>
          <w:rFonts w:hint="eastAsia" w:ascii="宋体" w:hAnsi="宋体" w:cs="宋体"/>
          <w:sz w:val="24"/>
          <w:szCs w:val="24"/>
          <w:lang w:eastAsia="zh-CN"/>
        </w:rPr>
        <w:t>本小组</w:t>
      </w:r>
      <w:r>
        <w:rPr>
          <w:rFonts w:hint="eastAsia" w:ascii="宋体" w:hAnsi="宋体" w:eastAsia="宋体" w:cs="宋体"/>
          <w:sz w:val="24"/>
          <w:szCs w:val="24"/>
        </w:rPr>
        <w:t>同时做了月频数据的模型对比。针对不同类型的因子，</w:t>
      </w:r>
      <w:r>
        <w:rPr>
          <w:rFonts w:hint="eastAsia" w:ascii="宋体" w:hAnsi="宋体" w:cs="宋体"/>
          <w:sz w:val="24"/>
          <w:szCs w:val="24"/>
          <w:lang w:eastAsia="zh-CN"/>
        </w:rPr>
        <w:t>本小组</w:t>
      </w:r>
      <w:r>
        <w:rPr>
          <w:rFonts w:hint="eastAsia" w:ascii="宋体" w:hAnsi="宋体" w:eastAsia="宋体" w:cs="宋体"/>
          <w:sz w:val="24"/>
          <w:szCs w:val="24"/>
        </w:rPr>
        <w:t>采用不同的转换方法：基本面和另类因子：取月末值，能够保留其最新信息。Barra和量价因子：取月均值，能够平滑噪声，反映月度的整体特征。</w:t>
      </w:r>
    </w:p>
    <w:p w14:paraId="4CF9303F">
      <w:pPr>
        <w:keepNext w:val="0"/>
        <w:keepLines w:val="0"/>
        <w:pageBreakBefore w:val="0"/>
        <w:widowControl w:val="0"/>
        <w:numPr>
          <w:ilvl w:val="0"/>
          <w:numId w:val="4"/>
        </w:numPr>
        <w:kinsoku/>
        <w:wordWrap/>
        <w:overflowPunct/>
        <w:topLinePunct w:val="0"/>
        <w:autoSpaceDE/>
        <w:autoSpaceDN/>
        <w:bidi w:val="0"/>
        <w:adjustRightInd/>
        <w:snapToGrid/>
        <w:spacing w:line="480" w:lineRule="auto"/>
        <w:ind w:left="-420" w:leftChars="0" w:firstLine="420" w:firstLineChars="0"/>
        <w:textAlignment w:val="auto"/>
        <w:outlineLvl w:val="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模型</w:t>
      </w:r>
    </w:p>
    <w:p w14:paraId="169E85C2">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 普通最小二乘法</w:t>
      </w:r>
    </w:p>
    <w:p w14:paraId="5480B59F">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普通最小二乘法（OLS）是一种经典的线性回归方法，通过最小化残差平方和来估计模型参数。OLS假设误差项服从正态分布且具有同方差性。然而，当数据中存在异常值时，OLS的表现可能会受到影响。为了增强模型的鲁棒性，</w:t>
      </w: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使用了Huber回归，它结合了OLS和L1正则化的优点，能够更好地处理异常值。</w:t>
      </w:r>
    </w:p>
    <w:p w14:paraId="3A4FBEDA">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使用scikit-learn库中的HuberRegressor实现Huber回归。通过网格搜索法优化epsilon（Huber损失函数的阈值参数）和alpha（正则化强度）两个超参数。具体步骤如下：</w:t>
      </w:r>
      <w:bookmarkStart w:id="1" w:name="_GoBack"/>
      <w:bookmarkEnd w:id="1"/>
    </w:p>
    <w:p w14:paraId="3FD4ACA6">
      <w:pPr>
        <w:keepNext w:val="0"/>
        <w:keepLines w:val="0"/>
        <w:pageBreakBefore w:val="0"/>
        <w:widowControl w:val="0"/>
        <w:numPr>
          <w:ilvl w:val="0"/>
          <w:numId w:val="5"/>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定义参数网格：epsilon和alpha的取值范围；</w:t>
      </w:r>
    </w:p>
    <w:p w14:paraId="416AE209">
      <w:pPr>
        <w:keepNext w:val="0"/>
        <w:keepLines w:val="0"/>
        <w:pageBreakBefore w:val="0"/>
        <w:widowControl w:val="0"/>
        <w:numPr>
          <w:ilvl w:val="0"/>
          <w:numId w:val="5"/>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遍历所有参数组合，训练模型并计算验证集上的R2分数；</w:t>
      </w:r>
    </w:p>
    <w:p w14:paraId="35F3C051">
      <w:pPr>
        <w:keepNext w:val="0"/>
        <w:keepLines w:val="0"/>
        <w:pageBreakBefore w:val="0"/>
        <w:widowControl w:val="0"/>
        <w:numPr>
          <w:ilvl w:val="0"/>
          <w:numId w:val="5"/>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选择最优参数组合，并在测试集上进行预测。</w:t>
      </w:r>
    </w:p>
    <w:p w14:paraId="1D847928">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2.2 主成分回归</w:t>
      </w:r>
    </w:p>
    <w:p w14:paraId="4586009E">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成分回归（PCR）通过主成分分析（PCA）将原始特征降维为少数几个主成分，然后在这些主成分上进行线性回归。PCR能够有效处理多重共线性问题，并减少模型的过拟合风险。其核心思想是通过降维保留数据的主要信息，同时去除噪声。</w:t>
      </w:r>
    </w:p>
    <w:p w14:paraId="33ED81DE">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PCR的实现分为两步：主成分分析（PCA）和线性回归。</w:t>
      </w: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使用scikit-learn库中的PCA和LinearRegression类。通过遍历不同的主成分数量，选择最优的主成分个数。</w:t>
      </w:r>
    </w:p>
    <w:p w14:paraId="7456EBFC">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2.3 偏最小二乘法</w:t>
      </w:r>
    </w:p>
    <w:p w14:paraId="4B120D1A">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偏最小二乘法（PLS）是一种结合了降维和回归的技术。与PCR不同，PLS在降维时同时考虑了自变量和因变量的信息。它通过最大化自变量和因变量之间的协方差来提取主成分，从而在降维的同时保留对因变量的解释能力。</w:t>
      </w:r>
    </w:p>
    <w:p w14:paraId="0ED8E0C9">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使用scikit-learn库中的PLSRegression实现偏最小二乘法。通过遍历不同的主成分数量，选择最优的主成分个数。</w:t>
      </w:r>
    </w:p>
    <w:p w14:paraId="72A45378">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2.4 广义线性模型</w:t>
      </w:r>
    </w:p>
    <w:p w14:paraId="19980E70">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广义线性模型（GLM）是线性回归的扩展，允许因变量服从非正态分布。GLM通过链接函数将线性预测器与因变量的期望值联系起来。在本报告中，</w:t>
      </w: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实现了一个结合样条基函数和Group Lasso正则化的GLM模型。样条基函数用于捕捉非线性关系，而Group Lasso正则化用于增强模型的稀疏性。具体步骤如下：</w:t>
      </w:r>
    </w:p>
    <w:p w14:paraId="0403E81B">
      <w:pPr>
        <w:keepNext w:val="0"/>
        <w:keepLines w:val="0"/>
        <w:pageBreakBefore w:val="0"/>
        <w:widowControl w:val="0"/>
        <w:numPr>
          <w:ilvl w:val="0"/>
          <w:numId w:val="6"/>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生成样条基函数：基于分位数确定节点位置，并构建二阶样条基函数；</w:t>
      </w:r>
    </w:p>
    <w:p w14:paraId="60432F32">
      <w:pPr>
        <w:keepNext w:val="0"/>
        <w:keepLines w:val="0"/>
        <w:pageBreakBefore w:val="0"/>
        <w:widowControl w:val="0"/>
        <w:numPr>
          <w:ilvl w:val="0"/>
          <w:numId w:val="6"/>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定义Group Lasso正则化：对每个特征对应的样条基函数进行分组正则化；</w:t>
      </w:r>
    </w:p>
    <w:p w14:paraId="54C57E43">
      <w:pPr>
        <w:keepNext w:val="0"/>
        <w:keepLines w:val="0"/>
        <w:pageBreakBefore w:val="0"/>
        <w:widowControl w:val="0"/>
        <w:numPr>
          <w:ilvl w:val="0"/>
          <w:numId w:val="6"/>
        </w:numPr>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使用Huber损失函数和Group Lasso正则化训练模型。</w:t>
      </w:r>
    </w:p>
    <w:p w14:paraId="140FFE73">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w:t>
      </w:r>
    </w:p>
    <w:p w14:paraId="4C89D576">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ascii="宋体" w:hAnsi="宋体" w:eastAsia="宋体" w:cs="宋体"/>
        </w:rPr>
      </w:pPr>
      <w:r>
        <w:rPr>
          <w:rFonts w:hint="eastAsia" w:ascii="宋体" w:hAnsi="宋体" w:eastAsia="宋体" w:cs="宋体"/>
        </w:rPr>
        <w:drawing>
          <wp:inline distT="0" distB="0" distL="114300" distR="114300">
            <wp:extent cx="5245100" cy="45358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45100" cy="4535805"/>
                    </a:xfrm>
                    <a:prstGeom prst="rect">
                      <a:avLst/>
                    </a:prstGeom>
                    <a:noFill/>
                    <a:ln>
                      <a:noFill/>
                    </a:ln>
                  </pic:spPr>
                </pic:pic>
              </a:graphicData>
            </a:graphic>
          </wp:inline>
        </w:drawing>
      </w:r>
    </w:p>
    <w:p w14:paraId="2CEB981F">
      <w:pPr>
        <w:widowControl/>
        <w:spacing w:line="480" w:lineRule="auto"/>
        <w:ind w:left="0" w:leftChars="0" w:firstLine="0" w:firstLineChars="0"/>
        <w:jc w:val="left"/>
        <w:outlineLvl w:val="1"/>
        <w:rPr>
          <w:rFonts w:hint="eastAsia" w:ascii="黑体" w:hAnsi="黑体" w:eastAsia="黑体" w:cs="黑体"/>
          <w:b w:val="0"/>
          <w:bCs w:val="0"/>
          <w:kern w:val="0"/>
          <w:sz w:val="24"/>
          <w:szCs w:val="24"/>
        </w:rPr>
      </w:pPr>
      <w:bookmarkStart w:id="0" w:name="OLE_LINK1"/>
      <w:r>
        <w:rPr>
          <w:rFonts w:hint="eastAsia" w:ascii="黑体" w:hAnsi="黑体" w:eastAsia="黑体" w:cs="黑体"/>
          <w:b w:val="0"/>
          <w:bCs w:val="0"/>
          <w:kern w:val="0"/>
          <w:sz w:val="24"/>
          <w:szCs w:val="24"/>
          <w:lang w:val="en-US" w:eastAsia="zh-CN"/>
        </w:rPr>
        <w:t>2.</w:t>
      </w:r>
      <w:r>
        <w:rPr>
          <w:rFonts w:hint="eastAsia" w:ascii="黑体" w:hAnsi="黑体" w:eastAsia="黑体" w:cs="黑体"/>
          <w:b w:val="0"/>
          <w:bCs w:val="0"/>
          <w:kern w:val="0"/>
          <w:sz w:val="24"/>
          <w:szCs w:val="24"/>
        </w:rPr>
        <w:t xml:space="preserve">5 </w:t>
      </w:r>
      <w:r>
        <w:rPr>
          <w:rFonts w:hint="eastAsia" w:ascii="黑体" w:hAnsi="黑体" w:eastAsia="黑体" w:cs="黑体"/>
          <w:b w:val="0"/>
          <w:bCs w:val="0"/>
          <w:kern w:val="0"/>
          <w:sz w:val="24"/>
          <w:szCs w:val="24"/>
          <w:lang w:val="en-US" w:eastAsia="zh-CN"/>
        </w:rPr>
        <w:t>弹性网络</w:t>
      </w:r>
    </w:p>
    <w:bookmarkEnd w:id="0"/>
    <w:p w14:paraId="2D43B909">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弹性网络（</w:t>
      </w:r>
      <w:r>
        <w:rPr>
          <w:rFonts w:hint="eastAsia" w:ascii="宋体" w:hAnsi="宋体" w:eastAsia="宋体" w:cs="宋体"/>
          <w:kern w:val="0"/>
          <w:sz w:val="24"/>
          <w:szCs w:val="24"/>
        </w:rPr>
        <w:t>Elastic Net</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作为一种线性回归模型，通过结合L1正则化（Lasso）和L2正则化（Ridge），在模型训练中有效平衡了特征选择与模型稳定性。其结合了L1和L2的优点，在特征选择和防止过拟合之间找到更好的平衡点，在高维数据建模中表现优异。</w:t>
      </w:r>
    </w:p>
    <w:p w14:paraId="7B4EB2C6">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在</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的模型中，Elastic Net的正则化强度由超参数alpha控制，而L1与L2正则化的比例由l1_ratio决定。通过这两个超参数的调整，模型能够在控制复杂度的同时，保持对数据中有用信息的有效提取。</w:t>
      </w:r>
    </w:p>
    <w:p w14:paraId="53021823">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本</w:t>
      </w:r>
      <w:r>
        <w:rPr>
          <w:rFonts w:hint="eastAsia" w:ascii="宋体" w:hAnsi="宋体" w:eastAsia="宋体" w:cs="宋体"/>
          <w:kern w:val="0"/>
          <w:sz w:val="24"/>
          <w:szCs w:val="24"/>
          <w:lang w:val="en-US" w:eastAsia="zh-CN"/>
        </w:rPr>
        <w:t>小组</w:t>
      </w:r>
      <w:r>
        <w:rPr>
          <w:rFonts w:hint="eastAsia" w:ascii="宋体" w:hAnsi="宋体" w:eastAsia="宋体" w:cs="宋体"/>
          <w:kern w:val="0"/>
          <w:sz w:val="24"/>
          <w:szCs w:val="24"/>
        </w:rPr>
        <w:t>结合了Huber Loss与Elastic Net正则化，设计了一个新的回归模型——</w:t>
      </w:r>
      <w:r>
        <w:rPr>
          <w:rFonts w:hint="eastAsia" w:ascii="宋体" w:hAnsi="宋体" w:eastAsia="宋体" w:cs="宋体"/>
          <w:b/>
          <w:bCs/>
          <w:kern w:val="0"/>
          <w:sz w:val="24"/>
          <w:szCs w:val="24"/>
        </w:rPr>
        <w:t>HuberElasticNet</w:t>
      </w:r>
      <w:r>
        <w:rPr>
          <w:rFonts w:hint="eastAsia" w:ascii="宋体" w:hAnsi="宋体" w:eastAsia="宋体" w:cs="宋体"/>
          <w:kern w:val="0"/>
          <w:sz w:val="24"/>
          <w:szCs w:val="24"/>
        </w:rPr>
        <w:t>。由于scikit-learn中的Elastic Net默认采用MSE损失，并没有直接提供Huber Loss的实现，因此本</w:t>
      </w:r>
      <w:r>
        <w:rPr>
          <w:rFonts w:hint="eastAsia" w:ascii="宋体" w:hAnsi="宋体" w:eastAsia="宋体" w:cs="宋体"/>
          <w:kern w:val="0"/>
          <w:sz w:val="24"/>
          <w:szCs w:val="24"/>
          <w:lang w:val="en-US" w:eastAsia="zh-CN"/>
        </w:rPr>
        <w:t>小组</w:t>
      </w:r>
      <w:r>
        <w:rPr>
          <w:rFonts w:hint="eastAsia" w:ascii="宋体" w:hAnsi="宋体" w:eastAsia="宋体" w:cs="宋体"/>
          <w:kern w:val="0"/>
          <w:sz w:val="24"/>
          <w:szCs w:val="24"/>
        </w:rPr>
        <w:t>采取了继承和扩展的方式，基于sklearn.base.BaseEstimator和RegressorMixin类重新定义了新的模型类。</w:t>
      </w:r>
    </w:p>
    <w:p w14:paraId="3A4CD5FC">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为了更好地训练模型，</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采用了基于梯度下降的优化方法，而非传统Elastic Net的坐标下降法。在每一轮迭代中，通过计算当前预测值与真实值之间的误差，并根据Huber Loss对误差进行分情况计算梯度。损失部分的梯度基于Huber Loss的定义进行更新；正则化部分的梯度则根据L1和L2正则化项的规则进行更新。最终，模型的权重和截距通过梯度下降方法得到更新。模型还设置了最大迭代次数max_iter和收敛容忍度tol，以便在梯度下降优化过程中控制计算过程。</w:t>
      </w:r>
    </w:p>
    <w:p w14:paraId="61174351">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在_compute_gradient方法中，首先计算损失部分的梯度，即误差的变化率，然后计算L1和L2正则化部分的梯度，并将其合并到损失梯度中进行参数更新。具体地，L1正则化项通过符号函数计算梯度，而L2正则化项则直接与系数成正比。代码片段示例如下：</w:t>
      </w:r>
    </w:p>
    <w:p w14:paraId="14A9F66D">
      <w:pPr>
        <w:widowControl/>
        <w:spacing w:line="480" w:lineRule="auto"/>
        <w:jc w:val="center"/>
        <w:rPr>
          <w:rFonts w:hint="eastAsia" w:ascii="宋体" w:hAnsi="宋体" w:eastAsia="宋体" w:cs="宋体"/>
          <w:kern w:val="0"/>
          <w:sz w:val="21"/>
          <w:szCs w:val="21"/>
        </w:rPr>
      </w:pPr>
      <w:r>
        <w:rPr>
          <w:rFonts w:hint="eastAsia" w:ascii="宋体" w:hAnsi="宋体" w:eastAsia="宋体" w:cs="宋体"/>
          <w:kern w:val="0"/>
          <w:sz w:val="21"/>
          <w:szCs w:val="21"/>
        </w:rPr>
        <w:drawing>
          <wp:inline distT="0" distB="0" distL="0" distR="0">
            <wp:extent cx="4833620" cy="2062480"/>
            <wp:effectExtent l="0" t="0" r="17780" b="20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870067" cy="2077957"/>
                    </a:xfrm>
                    <a:prstGeom prst="rect">
                      <a:avLst/>
                    </a:prstGeom>
                  </pic:spPr>
                </pic:pic>
              </a:graphicData>
            </a:graphic>
          </wp:inline>
        </w:drawing>
      </w:r>
    </w:p>
    <w:p w14:paraId="36640EA5">
      <w:pPr>
        <w:widowControl/>
        <w:spacing w:line="480" w:lineRule="auto"/>
        <w:ind w:left="0" w:leftChars="0" w:firstLine="0" w:firstLineChars="0"/>
        <w:jc w:val="left"/>
        <w:outlineLvl w:val="1"/>
        <w:rPr>
          <w:rFonts w:hint="eastAsia" w:ascii="黑体" w:hAnsi="黑体" w:eastAsia="黑体" w:cs="黑体"/>
          <w:b w:val="0"/>
          <w:bCs w:val="0"/>
          <w:kern w:val="0"/>
          <w:sz w:val="24"/>
          <w:szCs w:val="24"/>
        </w:rPr>
      </w:pPr>
      <w:r>
        <w:rPr>
          <w:rFonts w:hint="eastAsia" w:ascii="黑体" w:hAnsi="黑体" w:eastAsia="黑体" w:cs="黑体"/>
          <w:b w:val="0"/>
          <w:bCs w:val="0"/>
          <w:kern w:val="0"/>
          <w:sz w:val="24"/>
          <w:szCs w:val="24"/>
          <w:lang w:val="en-US" w:eastAsia="zh-CN"/>
        </w:rPr>
        <w:t>2.</w:t>
      </w:r>
      <w:r>
        <w:rPr>
          <w:rFonts w:hint="eastAsia" w:ascii="黑体" w:hAnsi="黑体" w:eastAsia="黑体" w:cs="黑体"/>
          <w:b w:val="0"/>
          <w:bCs w:val="0"/>
          <w:kern w:val="0"/>
          <w:sz w:val="24"/>
          <w:szCs w:val="24"/>
        </w:rPr>
        <w:t xml:space="preserve">6 </w:t>
      </w:r>
      <w:r>
        <w:rPr>
          <w:rFonts w:hint="eastAsia" w:ascii="黑体" w:hAnsi="黑体" w:eastAsia="黑体" w:cs="黑体"/>
          <w:b w:val="0"/>
          <w:bCs w:val="0"/>
          <w:kern w:val="0"/>
          <w:sz w:val="24"/>
          <w:szCs w:val="24"/>
          <w:lang w:val="en-US" w:eastAsia="zh-CN"/>
        </w:rPr>
        <w:t>随机森林</w:t>
      </w:r>
    </w:p>
    <w:p w14:paraId="37929B18">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随机森林</w:t>
      </w:r>
      <w:r>
        <w:rPr>
          <w:rFonts w:hint="eastAsia" w:ascii="宋体" w:hAnsi="宋体" w:eastAsia="宋体" w:cs="宋体"/>
          <w:kern w:val="0"/>
          <w:sz w:val="24"/>
          <w:szCs w:val="24"/>
          <w:lang w:eastAsia="zh-CN"/>
        </w:rPr>
        <w:t>（</w:t>
      </w:r>
      <w:r>
        <w:rPr>
          <w:rFonts w:hint="default" w:ascii="宋体" w:hAnsi="宋体" w:eastAsia="宋体" w:cs="宋体"/>
          <w:kern w:val="0"/>
          <w:sz w:val="24"/>
          <w:szCs w:val="24"/>
          <w:lang w:val="en-US" w:eastAsia="zh-CN"/>
        </w:rPr>
        <w:t>Random Forest</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是一种基于集成学习的非参数模型，通过构建多个决策树并对它们的预测结果进行平均来降低模型方差，从而提高整体鲁棒性。其核心思想在于利用自助采样（有放回抽样）为每棵树提供不同的训练样本，同时在节点分裂时随机选择部分特征进行决策。这种双重随机化不仅增强了各树之间的差异性，防止单棵树过拟合，还使得模型在处理高维数据和噪声干扰时具有良好的泛化能力。</w:t>
      </w:r>
    </w:p>
    <w:p w14:paraId="1AC9D34D">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最初，</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采用了sklearn.ensemble中的RandomForestRegressor来实现随机森林</w:t>
      </w:r>
      <w:r>
        <w:rPr>
          <w:rFonts w:hint="eastAsia" w:ascii="宋体" w:hAnsi="宋体" w:eastAsia="宋体" w:cs="宋体"/>
          <w:kern w:val="0"/>
          <w:sz w:val="24"/>
          <w:szCs w:val="24"/>
          <w:lang w:val="en-US" w:eastAsia="zh-CN"/>
        </w:rPr>
        <w:t>回归</w:t>
      </w:r>
      <w:r>
        <w:rPr>
          <w:rFonts w:hint="eastAsia" w:ascii="宋体" w:hAnsi="宋体" w:eastAsia="宋体" w:cs="宋体"/>
          <w:kern w:val="0"/>
          <w:sz w:val="24"/>
          <w:szCs w:val="24"/>
        </w:rPr>
        <w:t>，但在大规模和高维数据场景下，其运行速度和内存占用均表现不尽理想。为解决这一问题，</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转而采用了LightGBM框架，并将boosting_type参数设置为rf以模拟随机森林的构建方式。LightGBM通过对连续特征离散化构建直方图，大幅降低了分裂点搜索的计算复杂度，同时其精细的内存管理和多线程并行优化显著提升了训练效率。尽管LightGBM主要以梯度提升树见长，但其灵活的设计同样支持随机森林实现，使</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能够在保持模型预测精度和稳定性的同时，大幅提高训练速度和资源利用率，更好地满足A股收益率预测任务对实时性和高维数据处理的要求。</w:t>
      </w:r>
    </w:p>
    <w:p w14:paraId="2F56CC51">
      <w:pPr>
        <w:widowControl/>
        <w:spacing w:line="480" w:lineRule="auto"/>
        <w:ind w:left="0" w:leftChars="0" w:firstLine="0" w:firstLineChars="0"/>
        <w:jc w:val="left"/>
        <w:outlineLvl w:val="1"/>
        <w:rPr>
          <w:rFonts w:hint="eastAsia" w:ascii="黑体" w:hAnsi="黑体" w:eastAsia="黑体" w:cs="黑体"/>
          <w:b w:val="0"/>
          <w:bCs w:val="0"/>
          <w:kern w:val="0"/>
          <w:sz w:val="24"/>
          <w:szCs w:val="24"/>
        </w:rPr>
      </w:pPr>
      <w:r>
        <w:rPr>
          <w:rFonts w:hint="eastAsia" w:ascii="黑体" w:hAnsi="黑体" w:eastAsia="黑体" w:cs="黑体"/>
          <w:b w:val="0"/>
          <w:bCs w:val="0"/>
          <w:kern w:val="0"/>
          <w:sz w:val="24"/>
          <w:szCs w:val="24"/>
          <w:lang w:val="en-US" w:eastAsia="zh-CN"/>
        </w:rPr>
        <w:t>2.</w:t>
      </w:r>
      <w:r>
        <w:rPr>
          <w:rFonts w:hint="eastAsia" w:ascii="黑体" w:hAnsi="黑体" w:eastAsia="黑体" w:cs="黑体"/>
          <w:b w:val="0"/>
          <w:bCs w:val="0"/>
          <w:kern w:val="0"/>
          <w:sz w:val="24"/>
          <w:szCs w:val="24"/>
        </w:rPr>
        <w:t>7 梯度提升回归树</w:t>
      </w:r>
    </w:p>
    <w:p w14:paraId="2FE913F2">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梯度提升回归树</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GBRT</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是一种通过迭代构建弱预测模型（通常为决策树）的集成方法，其核心思想在于逐步纠正前一轮预测中的误差。在每一轮训练中，模型都会针对当前残差——即真实值与预测值之间的误差——的负梯度方向拟合一棵新的树，从而不断修正前期的不足。与此同时，GBRT支持任意可微分的损失函数优化；在本模型中，</w:t>
      </w:r>
      <w:r>
        <w:rPr>
          <w:rFonts w:hint="eastAsia" w:ascii="宋体" w:hAnsi="宋体" w:cs="宋体"/>
          <w:kern w:val="0"/>
          <w:sz w:val="24"/>
          <w:szCs w:val="24"/>
          <w:lang w:eastAsia="zh-CN"/>
        </w:rPr>
        <w:t>本小组</w:t>
      </w:r>
      <w:r>
        <w:rPr>
          <w:rFonts w:hint="eastAsia" w:ascii="宋体" w:hAnsi="宋体" w:eastAsia="宋体" w:cs="宋体"/>
          <w:kern w:val="0"/>
          <w:sz w:val="24"/>
          <w:szCs w:val="24"/>
        </w:rPr>
        <w:t>选择Huber损失，以兼顾小误差时的平滑性和大误差时的鲁棒性。通过不断累积各树的改进效果，模型逐步逼近目标函数的最优解，体现了集成方法中逐步优化的优势。</w:t>
      </w:r>
    </w:p>
    <w:p w14:paraId="1BAF008F">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最初，</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计划采用sklearn.ensemble中的GradientBoostingRegressor实现GBRT+Huber模型，但在大规模、高维数据的实际训练中，发现其存在明显的计算瓶颈，导致训练速度过慢。为此，</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转而采用LightGBM框架，并将关键参数设置为boosting_type='gbrt'和objective='huber'，明确利用梯度提升树构建方式并直接使用Huber损失。相比于传统实现，LGBM通过高效的直方图算法、优化的内存管理以及多线程并行计算，大幅提升了训练效率。其具体性能优势已在前述模型中详细讨论，此处不再赘述。</w:t>
      </w:r>
    </w:p>
    <w:p w14:paraId="023F34EC">
      <w:pPr>
        <w:widowControl/>
        <w:spacing w:line="480" w:lineRule="auto"/>
        <w:ind w:left="0" w:leftChars="0" w:firstLine="0" w:firstLineChars="0"/>
        <w:jc w:val="left"/>
        <w:outlineLvl w:val="1"/>
        <w:rPr>
          <w:rFonts w:hint="eastAsia" w:ascii="黑体" w:hAnsi="黑体" w:eastAsia="黑体" w:cs="黑体"/>
          <w:b w:val="0"/>
          <w:bCs w:val="0"/>
          <w:kern w:val="0"/>
          <w:sz w:val="24"/>
          <w:szCs w:val="24"/>
          <w:lang w:val="en-US" w:eastAsia="zh-CN"/>
        </w:rPr>
      </w:pPr>
      <w:r>
        <w:rPr>
          <w:rFonts w:hint="eastAsia" w:ascii="黑体" w:hAnsi="黑体" w:eastAsia="黑体" w:cs="黑体"/>
          <w:b w:val="0"/>
          <w:bCs w:val="0"/>
          <w:kern w:val="0"/>
          <w:sz w:val="24"/>
          <w:szCs w:val="24"/>
          <w:lang w:val="en-US" w:eastAsia="zh-CN"/>
        </w:rPr>
        <w:t>2.</w:t>
      </w:r>
      <w:r>
        <w:rPr>
          <w:rFonts w:hint="eastAsia" w:ascii="黑体" w:hAnsi="黑体" w:eastAsia="黑体" w:cs="黑体"/>
          <w:b w:val="0"/>
          <w:bCs w:val="0"/>
          <w:kern w:val="0"/>
          <w:sz w:val="24"/>
          <w:szCs w:val="24"/>
        </w:rPr>
        <w:t xml:space="preserve">8 </w:t>
      </w:r>
      <w:r>
        <w:rPr>
          <w:rFonts w:hint="eastAsia" w:ascii="黑体" w:hAnsi="黑体" w:eastAsia="黑体" w:cs="黑体"/>
          <w:b w:val="0"/>
          <w:bCs w:val="0"/>
          <w:kern w:val="0"/>
          <w:sz w:val="24"/>
          <w:szCs w:val="24"/>
          <w:lang w:val="en-US" w:eastAsia="zh-CN"/>
        </w:rPr>
        <w:t>神经网络</w:t>
      </w:r>
    </w:p>
    <w:p w14:paraId="1824FA61">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全连接神经网络</w:t>
      </w:r>
      <w:r>
        <w:rPr>
          <w:rFonts w:hint="eastAsia" w:ascii="宋体" w:hAnsi="宋体" w:eastAsia="宋体" w:cs="宋体"/>
          <w:kern w:val="0"/>
          <w:sz w:val="24"/>
          <w:szCs w:val="24"/>
          <w:lang w:eastAsia="zh-CN"/>
        </w:rPr>
        <w:t>（</w:t>
      </w:r>
      <w:r>
        <w:rPr>
          <w:rFonts w:hint="default" w:ascii="宋体" w:hAnsi="宋体" w:eastAsia="宋体" w:cs="宋体"/>
          <w:kern w:val="0"/>
          <w:sz w:val="24"/>
          <w:szCs w:val="24"/>
          <w:lang w:val="en-US" w:eastAsia="zh-CN"/>
        </w:rPr>
        <w:t>Neural Network</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由多个层次的神经元构成，每一层神经元均与下一层所有神经元全连接，从而实现输入信息的加权组合和非线性变换。具体而言，每个神经元对输入进行加权求和并加上偏置，再通过激活函数（例如ReLU）进行非线性映射，使得网络能够捕捉复杂的输入与输出之间的关系。通过反向传播算法，将损失（如均方误差）关于各层参数的梯度逐层反馈，并利用自适应优化器（如Adam）更新参数，从而使得网络逐步逼近最优解。</w:t>
      </w:r>
    </w:p>
    <w:p w14:paraId="5BAC58A0">
      <w:pPr>
        <w:widowControl/>
        <w:numPr>
          <w:ilvl w:val="0"/>
          <w:numId w:val="7"/>
        </w:numPr>
        <w:spacing w:line="480" w:lineRule="auto"/>
        <w:ind w:left="0" w:leftChars="0" w:firstLine="0" w:firstLineChars="0"/>
        <w:jc w:val="left"/>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设计方案</w:t>
      </w:r>
    </w:p>
    <w:p w14:paraId="3650F543">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在</w:t>
      </w:r>
      <w:r>
        <w:rPr>
          <w:rFonts w:hint="default" w:ascii="宋体" w:hAnsi="宋体" w:eastAsia="宋体" w:cs="宋体"/>
          <w:kern w:val="0"/>
          <w:sz w:val="24"/>
          <w:szCs w:val="24"/>
          <w:lang w:val="en-US"/>
        </w:rPr>
        <w:t>Gu</w:t>
      </w:r>
      <w:r>
        <w:rPr>
          <w:rFonts w:hint="eastAsia" w:ascii="宋体" w:hAnsi="宋体" w:eastAsia="宋体" w:cs="宋体"/>
          <w:kern w:val="0"/>
          <w:sz w:val="24"/>
          <w:szCs w:val="24"/>
          <w:lang w:val="en-US" w:eastAsia="zh-CN"/>
        </w:rPr>
        <w:t>等</w:t>
      </w:r>
      <w:r>
        <w:rPr>
          <w:rFonts w:hint="eastAsia" w:ascii="宋体" w:hAnsi="宋体" w:eastAsia="宋体" w:cs="宋体"/>
          <w:kern w:val="0"/>
          <w:sz w:val="24"/>
          <w:szCs w:val="24"/>
        </w:rPr>
        <w:t>的工作中，原文对比了2至5层全连接神经网络在预测任务中的表现。受限于GPU资源以及A股数据噪音较大的现实情况，</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选择构建了一种简化的两层全连接结构。尽管较深层网络理论上能够捕捉更丰富的特征表达，但实际应用中深层模型不仅计算开销更大，而且在高噪音环境下容易导致过拟合问题。</w:t>
      </w:r>
    </w:p>
    <w:p w14:paraId="75E7A2C5">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因此，</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在保证计算效率和稳定性的前提下，专注于两层网络的研究。该网络采用ReLU激活函数，以提高非线性表达能力，并利用Adam优化器实现自适应梯度更新，期望在简化结构下仍能提取到足够的特征信息，从而实现合理的预测性能。</w:t>
      </w:r>
      <w:r>
        <w:rPr>
          <w:rFonts w:hint="eastAsia" w:ascii="宋体" w:hAnsi="宋体" w:cs="宋体"/>
          <w:kern w:val="0"/>
          <w:sz w:val="24"/>
          <w:szCs w:val="24"/>
          <w:lang w:eastAsia="zh-CN"/>
        </w:rPr>
        <w:t>本小组</w:t>
      </w:r>
      <w:r>
        <w:rPr>
          <w:rFonts w:hint="eastAsia" w:ascii="宋体" w:hAnsi="宋体" w:eastAsia="宋体" w:cs="宋体"/>
          <w:kern w:val="0"/>
          <w:sz w:val="24"/>
          <w:szCs w:val="24"/>
        </w:rPr>
        <w:t>的设计充分考虑了资源约束与数据特性之间的平衡，旨在通过精细调参和网络结构的合理设计，为后续深入改进和性能提升奠定基础。</w:t>
      </w:r>
    </w:p>
    <w:p w14:paraId="4EE43A41">
      <w:pPr>
        <w:widowControl/>
        <w:numPr>
          <w:ilvl w:val="0"/>
          <w:numId w:val="7"/>
        </w:numPr>
        <w:spacing w:line="480" w:lineRule="auto"/>
        <w:ind w:left="0" w:leftChars="0" w:firstLine="0" w:firstLineChars="0"/>
        <w:jc w:val="left"/>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遇到的问题</w:t>
      </w:r>
    </w:p>
    <w:p w14:paraId="117237BA">
      <w:pPr>
        <w:keepNext w:val="0"/>
        <w:keepLines w:val="0"/>
        <w:pageBreakBefore w:val="0"/>
        <w:widowControl/>
        <w:kinsoku/>
        <w:wordWrap/>
        <w:overflowPunct/>
        <w:topLinePunct w:val="0"/>
        <w:autoSpaceDE/>
        <w:autoSpaceDN/>
        <w:bidi w:val="0"/>
        <w:adjustRightInd/>
        <w:snapToGrid/>
        <w:spacing w:beforeAutospacing="0" w:afterAutospacing="0" w:line="480" w:lineRule="auto"/>
        <w:ind w:firstLine="480" w:firstLineChars="200"/>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在初始训练过程中，模型在验证集上的loss始终未能下降，导致对未见数据的泛化能力受到严重限制，预测效果不尽如人意。进一步观察发现，训练过程中的损失函数变化极为缓慢，且模型在不同迭代阶段几乎没有取得实质性改进，这为模型的稳定性和收敛速度带来了挑战。（本部分的的模型结果保存为NN2）</w:t>
      </w:r>
    </w:p>
    <w:p w14:paraId="1B63DF8A">
      <w:pPr>
        <w:keepNext w:val="0"/>
        <w:keepLines w:val="0"/>
        <w:pageBreakBefore w:val="0"/>
        <w:widowControl/>
        <w:kinsoku/>
        <w:wordWrap/>
        <w:overflowPunct/>
        <w:topLinePunct w:val="0"/>
        <w:autoSpaceDE/>
        <w:autoSpaceDN/>
        <w:bidi w:val="0"/>
        <w:adjustRightInd/>
        <w:snapToGrid/>
        <w:spacing w:beforeAutospacing="0" w:afterAutospacing="0" w:line="480" w:lineRule="auto"/>
        <w:ind w:left="0" w:leftChars="0" w:firstLine="0" w:firstLineChars="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74310" cy="2409825"/>
            <wp:effectExtent l="0" t="0" r="889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409825"/>
                    </a:xfrm>
                    <a:prstGeom prst="rect">
                      <a:avLst/>
                    </a:prstGeom>
                    <a:noFill/>
                    <a:ln>
                      <a:noFill/>
                    </a:ln>
                  </pic:spPr>
                </pic:pic>
              </a:graphicData>
            </a:graphic>
          </wp:inline>
        </w:drawing>
      </w:r>
    </w:p>
    <w:p w14:paraId="3EC40445">
      <w:pPr>
        <w:keepNext w:val="0"/>
        <w:keepLines w:val="0"/>
        <w:pageBreakBefore w:val="0"/>
        <w:widowControl/>
        <w:numPr>
          <w:ilvl w:val="0"/>
          <w:numId w:val="7"/>
        </w:numPr>
        <w:kinsoku/>
        <w:wordWrap/>
        <w:overflowPunct/>
        <w:topLinePunct w:val="0"/>
        <w:autoSpaceDE/>
        <w:autoSpaceDN/>
        <w:bidi w:val="0"/>
        <w:adjustRightInd/>
        <w:snapToGrid/>
        <w:spacing w:beforeAutospacing="0" w:afterAutospacing="0" w:line="480" w:lineRule="auto"/>
        <w:ind w:left="0" w:leftChars="0" w:firstLine="0" w:firstLineChars="0"/>
        <w:jc w:val="left"/>
        <w:textAlignment w:val="auto"/>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原因分析</w:t>
      </w:r>
    </w:p>
    <w:p w14:paraId="0C8B3502">
      <w:pPr>
        <w:keepNext w:val="0"/>
        <w:keepLines w:val="0"/>
        <w:pageBreakBefore w:val="0"/>
        <w:widowControl/>
        <w:kinsoku/>
        <w:wordWrap/>
        <w:overflowPunct/>
        <w:topLinePunct w:val="0"/>
        <w:autoSpaceDE/>
        <w:autoSpaceDN/>
        <w:bidi w:val="0"/>
        <w:adjustRightInd/>
        <w:snapToGrid/>
        <w:spacing w:beforeAutospacing="0" w:afterAutospacing="0" w:line="480" w:lineRule="auto"/>
        <w:ind w:firstLine="480" w:firstLineChars="200"/>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经过本小组讨论分析，这种现象可能源自多个方面：</w:t>
      </w:r>
    </w:p>
    <w:p w14:paraId="65D0843A">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首先，模型参数初始化后可能落入鞍点或梯度平坦区，使得梯度更新非常缓慢，难以突破局部最优；其次，A股数据本身噪音较大，噪音信号可能干扰了有效特征的捕捉，导致梯度方向不稳定；此外，采用简化的两层结构虽然降低了计算资源要求，但在处理复杂、高噪音数据时，其表达能力可能不足，无法提取出稳定且具有区分性的特征信息。</w:t>
      </w:r>
    </w:p>
    <w:p w14:paraId="0B6DA4FA">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综上，尽管</w:t>
      </w:r>
      <w:r>
        <w:rPr>
          <w:rFonts w:hint="eastAsia" w:ascii="宋体" w:hAnsi="宋体" w:cs="宋体"/>
          <w:kern w:val="0"/>
          <w:sz w:val="24"/>
          <w:szCs w:val="24"/>
          <w:lang w:eastAsia="zh-CN"/>
        </w:rPr>
        <w:t>本小组</w:t>
      </w:r>
      <w:r>
        <w:rPr>
          <w:rFonts w:hint="eastAsia" w:ascii="宋体" w:hAnsi="宋体" w:eastAsia="宋体" w:cs="宋体"/>
          <w:kern w:val="0"/>
          <w:sz w:val="24"/>
          <w:szCs w:val="24"/>
        </w:rPr>
        <w:t>基于资源和数据的限制选择了较为简单的两层结构，并采用了成熟的ReLU和Adam优化器，但初始训练中验证集loss不降的问题表明网络在参数空间中存在优化瓶颈和数据干扰。后续工作将针对这些问题，探讨更高效的初始化策略、数据预处理方法以及网络结构调整，以提升模型的收敛速度和泛化能力。</w:t>
      </w:r>
    </w:p>
    <w:p w14:paraId="36095828">
      <w:pPr>
        <w:widowControl/>
        <w:numPr>
          <w:ilvl w:val="0"/>
          <w:numId w:val="4"/>
        </w:numPr>
        <w:spacing w:line="480" w:lineRule="auto"/>
        <w:ind w:left="-420" w:leftChars="0" w:firstLine="420" w:firstLineChars="0"/>
        <w:jc w:val="both"/>
        <w:outlineLvl w:val="0"/>
        <w:rPr>
          <w:rFonts w:hint="eastAsia" w:ascii="黑体" w:hAnsi="黑体" w:eastAsia="黑体" w:cs="黑体"/>
          <w:b w:val="0"/>
          <w:bCs w:val="0"/>
          <w:kern w:val="0"/>
          <w:sz w:val="28"/>
          <w:szCs w:val="28"/>
        </w:rPr>
      </w:pPr>
      <w:r>
        <w:rPr>
          <w:rFonts w:hint="eastAsia" w:ascii="黑体" w:hAnsi="黑体" w:eastAsia="黑体" w:cs="黑体"/>
          <w:b w:val="0"/>
          <w:bCs w:val="0"/>
          <w:kern w:val="0"/>
          <w:sz w:val="28"/>
          <w:szCs w:val="28"/>
        </w:rPr>
        <w:t>模型提升</w:t>
      </w:r>
    </w:p>
    <w:p w14:paraId="224118A6">
      <w:pPr>
        <w:widowControl/>
        <w:numPr>
          <w:ilvl w:val="0"/>
          <w:numId w:val="0"/>
        </w:numPr>
        <w:spacing w:line="480" w:lineRule="auto"/>
        <w:ind w:leftChars="0"/>
        <w:jc w:val="left"/>
        <w:outlineLvl w:val="1"/>
        <w:rPr>
          <w:rFonts w:hint="eastAsia" w:ascii="黑体" w:hAnsi="黑体" w:eastAsia="黑体" w:cs="黑体"/>
          <w:b w:val="0"/>
          <w:bCs w:val="0"/>
          <w:kern w:val="0"/>
          <w:sz w:val="24"/>
          <w:szCs w:val="24"/>
        </w:rPr>
      </w:pPr>
      <w:r>
        <w:rPr>
          <w:rFonts w:hint="eastAsia" w:ascii="黑体" w:hAnsi="黑体" w:eastAsia="黑体" w:cs="黑体"/>
          <w:b w:val="0"/>
          <w:bCs w:val="0"/>
          <w:kern w:val="0"/>
          <w:sz w:val="24"/>
          <w:szCs w:val="24"/>
          <w:lang w:val="en-US" w:eastAsia="zh-CN"/>
        </w:rPr>
        <w:t xml:space="preserve">3.1 </w:t>
      </w:r>
      <w:r>
        <w:rPr>
          <w:rFonts w:hint="eastAsia" w:ascii="黑体" w:hAnsi="黑体" w:eastAsia="黑体" w:cs="黑体"/>
          <w:b w:val="0"/>
          <w:bCs w:val="0"/>
          <w:kern w:val="0"/>
          <w:sz w:val="24"/>
          <w:szCs w:val="24"/>
        </w:rPr>
        <w:t>全连接神经网络的改进</w:t>
      </w:r>
    </w:p>
    <w:p w14:paraId="68986818">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在初始版本中，全连接网络在训练过程出现验证集loss长时间无法下降的现象。针对这些现象，</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采取了如下改进策略：</w:t>
      </w:r>
    </w:p>
    <w:p w14:paraId="75E1DC7A">
      <w:pPr>
        <w:widowControl/>
        <w:numPr>
          <w:ilvl w:val="0"/>
          <w:numId w:val="8"/>
        </w:numPr>
        <w:spacing w:line="480" w:lineRule="auto"/>
        <w:ind w:left="0" w:leftChars="0" w:firstLine="0" w:firstLineChars="0"/>
        <w:jc w:val="left"/>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激活函数和学习率调整</w:t>
      </w:r>
    </w:p>
    <w:p w14:paraId="0E5B0667">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为缓解ReLU可能出现的梯度消失问题，</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将激活函数由ReLU替换为LeakyReLU。LeakyReLU在负输入区域保持一个较小的非零斜率，有助于梯度流动，从而使网络更容易摆脱梯度平缓区域。虽然调整的代价是让计算梯度耗时更长，但整体来看却是较有效地缓解了梯度消失问题。同时，</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适当调大优化器学习率，使得参数能够更快地走出梯度较小的鞍点或平坦区域，进一步促进损失下降。</w:t>
      </w:r>
    </w:p>
    <w:p w14:paraId="6545B7CC">
      <w:pPr>
        <w:pStyle w:val="42"/>
        <w:widowControl/>
        <w:numPr>
          <w:ilvl w:val="0"/>
          <w:numId w:val="8"/>
        </w:numPr>
        <w:spacing w:line="480" w:lineRule="auto"/>
        <w:ind w:left="0" w:leftChars="0" w:firstLine="0" w:firstLineChars="0"/>
        <w:jc w:val="left"/>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数据预处理策略优化</w:t>
      </w:r>
    </w:p>
    <w:p w14:paraId="55115BFB">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在股票因子数据处理中，</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最初对缺失值采用了 fillna(0) 的简单填充方式。考虑到零值填充可能会扭曲数据分布和特征统计，</w:t>
      </w:r>
      <w:r>
        <w:rPr>
          <w:rFonts w:hint="eastAsia" w:ascii="宋体" w:hAnsi="宋体" w:cs="宋体"/>
          <w:kern w:val="0"/>
          <w:sz w:val="24"/>
          <w:szCs w:val="24"/>
          <w:lang w:eastAsia="zh-CN"/>
        </w:rPr>
        <w:t>本小组</w:t>
      </w:r>
      <w:r>
        <w:rPr>
          <w:rFonts w:hint="eastAsia" w:ascii="宋体" w:hAnsi="宋体" w:eastAsia="宋体" w:cs="宋体"/>
          <w:kern w:val="0"/>
          <w:sz w:val="24"/>
          <w:szCs w:val="24"/>
        </w:rPr>
        <w:t>尝试使用均值填充，以期提供更合理的缺失数据估计，从而降低噪音对梯度计算的干扰。</w:t>
      </w:r>
    </w:p>
    <w:p w14:paraId="524D9382">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尽管上述改动缓解了训练集loss停滞的问题，但随后观察到，在少数几次迭代中，train loss波动非常剧烈，甚至超过了1，甚至达到了几十、几百。但预测的收益率是小于1的小数，损失函数是MSE，正常来说根本不应该出现这样的loss。</w:t>
      </w:r>
    </w:p>
    <w:p w14:paraId="528E38D9">
      <w:pPr>
        <w:widowControl/>
        <w:spacing w:line="480" w:lineRule="auto"/>
        <w:ind w:left="0" w:leftChars="0" w:firstLine="0" w:firstLineChars="0"/>
        <w:jc w:val="center"/>
        <w:rPr>
          <w:rFonts w:hint="eastAsia"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013960" cy="1842770"/>
            <wp:effectExtent l="0" t="0" r="1524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36397" cy="1851206"/>
                    </a:xfrm>
                    <a:prstGeom prst="rect">
                      <a:avLst/>
                    </a:prstGeom>
                    <a:noFill/>
                    <a:ln>
                      <a:noFill/>
                    </a:ln>
                  </pic:spPr>
                </pic:pic>
              </a:graphicData>
            </a:graphic>
          </wp:inline>
        </w:drawing>
      </w:r>
    </w:p>
    <w:p w14:paraId="16029FBA">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kern w:val="0"/>
          <w:sz w:val="24"/>
          <w:szCs w:val="24"/>
        </w:rPr>
        <w:t>经分析，</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 xml:space="preserve">将之归咎于某些数据局部梯度陡峭甚至梯度爆炸。为此，在模型初始化阶段采用了更为精细的权重初始化策略，并在反向传播时对梯度进行裁剪，将梯度值限制在[-5, 5]范围内。这一举措有效防止了梯度爆炸，确保了参数更新的稳定性，使得网络训练过程趋于平稳。这一结果最终在回测中记录为NN2_2。 </w:t>
      </w:r>
    </w:p>
    <w:p w14:paraId="6276BEC4">
      <w:pPr>
        <w:widowControl/>
        <w:spacing w:line="480" w:lineRule="auto"/>
        <w:ind w:firstLine="420"/>
        <w:jc w:val="left"/>
        <w:rPr>
          <w:rFonts w:hint="eastAsia" w:ascii="宋体" w:hAnsi="宋体" w:eastAsia="宋体" w:cs="宋体"/>
          <w:kern w:val="0"/>
          <w:sz w:val="24"/>
          <w:szCs w:val="24"/>
        </w:rPr>
      </w:pPr>
      <w:r>
        <w:rPr>
          <w:rFonts w:hint="eastAsia" w:ascii="宋体" w:hAnsi="宋体" w:eastAsia="宋体" w:cs="宋体"/>
          <w:b/>
          <w:bCs/>
          <w:kern w:val="0"/>
          <w:sz w:val="24"/>
          <w:szCs w:val="24"/>
        </w:rPr>
        <w:t>进一步说，</w:t>
      </w:r>
      <w:r>
        <w:rPr>
          <w:rFonts w:hint="eastAsia" w:ascii="宋体" w:hAnsi="宋体" w:eastAsia="宋体" w:cs="宋体"/>
          <w:kern w:val="0"/>
          <w:sz w:val="24"/>
          <w:szCs w:val="24"/>
        </w:rPr>
        <w:t>上述改动主要是为了使模型能够“正常”运行，并非真正提升模型泛化能力。为进一步抑制过拟合风险，</w:t>
      </w:r>
      <w:r>
        <w:rPr>
          <w:rFonts w:hint="eastAsia" w:ascii="宋体" w:hAnsi="宋体" w:eastAsia="宋体" w:cs="宋体"/>
          <w:kern w:val="0"/>
          <w:sz w:val="24"/>
          <w:szCs w:val="24"/>
          <w:lang w:eastAsia="zh-CN"/>
        </w:rPr>
        <w:t>本小组</w:t>
      </w:r>
      <w:r>
        <w:rPr>
          <w:rFonts w:hint="eastAsia" w:ascii="宋体" w:hAnsi="宋体" w:eastAsia="宋体" w:cs="宋体"/>
          <w:kern w:val="0"/>
          <w:sz w:val="24"/>
          <w:szCs w:val="24"/>
        </w:rPr>
        <w:t>引入了Dropout机制及额外的正则化项，同时将Adam优化器替换为AdamW。AdamW对于Adam的改进主要源自于Adam的L2正则化问题。大多数优化器通过引入weight decay来实现L2正则化。但事实上Adam+weight decay并不能实现L2正则化效果，甚至会出现不理想的迭代结果：</w:t>
      </w:r>
    </w:p>
    <w:p w14:paraId="00815081">
      <w:pPr>
        <w:spacing w:line="480" w:lineRule="auto"/>
        <w:ind w:firstLine="480"/>
        <w:rPr>
          <w:rFonts w:hint="eastAsia" w:ascii="宋体" w:hAnsi="宋体" w:eastAsia="宋体" w:cs="宋体"/>
          <w:sz w:val="24"/>
          <w:szCs w:val="24"/>
        </w:rPr>
      </w:pPr>
      <w:r>
        <w:rPr>
          <w:rFonts w:hint="eastAsia" w:ascii="宋体" w:hAnsi="宋体" w:eastAsia="宋体" w:cs="宋体"/>
          <w:sz w:val="24"/>
          <w:szCs w:val="24"/>
        </w:rPr>
        <w:t>若Adam加上weight decay，那么梯度的结果为：</w:t>
      </w:r>
      <w:r>
        <w:rPr>
          <w:rFonts w:hint="eastAsia" w:ascii="宋体" w:hAnsi="宋体" w:eastAsia="宋体" w:cs="宋体"/>
          <w:position w:val="-12"/>
          <w:sz w:val="24"/>
          <w:szCs w:val="24"/>
        </w:rPr>
        <w:object>
          <v:shape id="_x0000_i1025" o:spt="75" type="#_x0000_t75" style="height:17pt;width:93.55pt;" o:ole="t" filled="f" o:preferrelative="t" stroked="f" coordsize="21600,21600">
            <v:path/>
            <v:fill on="f" focussize="0,0"/>
            <v:stroke on="f"/>
            <v:imagedata r:id="rId12" o:title=""/>
            <o:lock v:ext="edit" aspectratio="t"/>
            <w10:wrap type="none"/>
            <w10:anchorlock/>
          </v:shape>
          <o:OLEObject Type="Embed" ProgID="Equation.DSMT4" ShapeID="_x0000_i1025" DrawAspect="Content" ObjectID="_1468075725" r:id="rId11">
            <o:LockedField>false</o:LockedField>
          </o:OLEObject>
        </w:object>
      </w:r>
      <w:r>
        <w:rPr>
          <w:rFonts w:hint="eastAsia" w:ascii="宋体" w:hAnsi="宋体" w:eastAsia="宋体" w:cs="宋体"/>
          <w:sz w:val="24"/>
          <w:szCs w:val="24"/>
        </w:rPr>
        <w:t>。</w:t>
      </w:r>
      <w:r>
        <w:rPr>
          <w:rFonts w:hint="eastAsia" w:ascii="宋体" w:hAnsi="宋体" w:eastAsia="宋体" w:cs="宋体"/>
          <w:position w:val="-12"/>
          <w:sz w:val="24"/>
          <w:szCs w:val="24"/>
        </w:rPr>
        <w:object>
          <v:shape id="_x0000_i1026" o:spt="75" type="#_x0000_t75" style="height:17pt;width:11.35pt;" o:ole="t" filled="f" o:preferrelative="t" stroked="f" coordsize="21600,21600">
            <v:path/>
            <v:fill on="f" focussize="0,0"/>
            <v:stroke on="f"/>
            <v:imagedata r:id="rId14" o:title=""/>
            <o:lock v:ext="edit" aspectratio="t"/>
            <w10:wrap type="none"/>
            <w10:anchorlock/>
          </v:shape>
          <o:OLEObject Type="Embed" ProgID="Equation.DSMT4" ShapeID="_x0000_i1026" DrawAspect="Content" ObjectID="_1468075726" r:id="rId13">
            <o:LockedField>false</o:LockedField>
          </o:OLEObject>
        </w:object>
      </w:r>
      <w:r>
        <w:rPr>
          <w:rFonts w:hint="eastAsia" w:ascii="宋体" w:hAnsi="宋体" w:eastAsia="宋体" w:cs="宋体"/>
          <w:sz w:val="24"/>
          <w:szCs w:val="24"/>
        </w:rPr>
        <w:t>表示第t次迭代中更新的神经网络参数；</w:t>
      </w:r>
      <m:oMath>
        <m:r>
          <m:rPr>
            <m:sty m:val="p"/>
          </m:rPr>
          <w:rPr>
            <w:rFonts w:hint="eastAsia" w:ascii="DejaVu Math TeX Gyre" w:hAnsi="DejaVu Math TeX Gyre" w:eastAsia="宋体" w:cs="宋体"/>
            <w:kern w:val="2"/>
            <w:sz w:val="24"/>
            <w:szCs w:val="24"/>
            <w:lang w:val="en-US" w:eastAsia="zh-CN" w:bidi="ar-SA"/>
          </w:rPr>
          <m:t>f</m:t>
        </m:r>
        <m:r>
          <m:rPr>
            <m:sty m:val="p"/>
          </m:rPr>
          <w:rPr>
            <w:rFonts w:hint="default" w:ascii="DejaVu Math TeX Gyre" w:hAnsi="DejaVu Math TeX Gyre" w:eastAsia="宋体" w:cs="宋体"/>
            <w:kern w:val="2"/>
            <w:sz w:val="24"/>
            <w:szCs w:val="24"/>
            <w:lang w:val="en-US" w:eastAsia="zh-CN" w:bidi="ar-SA"/>
          </w:rPr>
          <m:t>(</m:t>
        </m:r>
        <m:sSub>
          <m:sSubPr>
            <m:ctrlPr>
              <w:rPr>
                <w:rFonts w:hint="default" w:ascii="DejaVu Math TeX Gyre" w:hAnsi="DejaVu Math TeX Gyre" w:eastAsia="宋体" w:cs="宋体"/>
                <w:kern w:val="2"/>
                <w:sz w:val="24"/>
                <w:szCs w:val="24"/>
                <w:lang w:val="en-US" w:eastAsia="zh-CN" w:bidi="ar-SA"/>
              </w:rPr>
            </m:ctrlPr>
          </m:sSubPr>
          <m:e>
            <m:r>
              <m:rPr>
                <m:sty m:val="p"/>
              </m:rPr>
              <w:rPr>
                <w:rFonts w:ascii="DejaVu Math TeX Gyre" w:hAnsi="DejaVu Math TeX Gyre" w:cs="宋体"/>
                <w:kern w:val="2"/>
                <w:sz w:val="24"/>
                <w:szCs w:val="24"/>
                <w:lang w:val="en-US" w:bidi="ar-SA"/>
              </w:rPr>
              <m:t>θ</m:t>
            </m:r>
            <m:ctrlPr>
              <w:rPr>
                <w:rFonts w:hint="default" w:ascii="DejaVu Math TeX Gyre" w:hAnsi="DejaVu Math TeX Gyre" w:eastAsia="宋体" w:cs="宋体"/>
                <w:kern w:val="2"/>
                <w:sz w:val="24"/>
                <w:szCs w:val="24"/>
                <w:lang w:val="en-US" w:eastAsia="zh-CN" w:bidi="ar-SA"/>
              </w:rPr>
            </m:ctrlPr>
          </m:e>
          <m:sub>
            <m:r>
              <m:rPr>
                <m:sty m:val="p"/>
              </m:rPr>
              <w:rPr>
                <w:rFonts w:hint="default" w:ascii="DejaVu Math TeX Gyre" w:hAnsi="DejaVu Math TeX Gyre" w:eastAsia="宋体" w:cs="宋体"/>
                <w:kern w:val="2"/>
                <w:sz w:val="24"/>
                <w:szCs w:val="24"/>
                <w:lang w:val="en-US" w:eastAsia="zh-CN" w:bidi="ar-SA"/>
              </w:rPr>
              <m:t>i</m:t>
            </m:r>
            <m:ctrlPr>
              <w:rPr>
                <w:rFonts w:hint="default" w:ascii="DejaVu Math TeX Gyre" w:hAnsi="DejaVu Math TeX Gyre" w:eastAsia="宋体" w:cs="宋体"/>
                <w:kern w:val="2"/>
                <w:sz w:val="24"/>
                <w:szCs w:val="24"/>
                <w:lang w:val="en-US" w:eastAsia="zh-CN" w:bidi="ar-SA"/>
              </w:rPr>
            </m:ctrlPr>
          </m:sub>
        </m:sSub>
        <m:r>
          <m:rPr>
            <m:sty m:val="p"/>
          </m:rPr>
          <w:rPr>
            <w:rFonts w:hint="default" w:ascii="DejaVu Math TeX Gyre" w:hAnsi="DejaVu Math TeX Gyre" w:eastAsia="宋体" w:cs="宋体"/>
            <w:kern w:val="2"/>
            <w:sz w:val="24"/>
            <w:szCs w:val="24"/>
            <w:lang w:val="en-US" w:eastAsia="zh-CN" w:bidi="ar-SA"/>
          </w:rPr>
          <m:t>)</m:t>
        </m:r>
      </m:oMath>
      <w:r>
        <w:rPr>
          <w:rFonts w:hint="eastAsia" w:ascii="宋体" w:hAnsi="宋体" w:eastAsia="宋体" w:cs="宋体"/>
          <w:sz w:val="24"/>
          <w:szCs w:val="24"/>
        </w:rPr>
        <w:t>为损失函数，表示在</w:t>
      </w:r>
      <m:oMath>
        <m:sSub>
          <m:sSubPr>
            <m:ctrlPr>
              <w:rPr>
                <w:rStyle w:val="17"/>
                <w:rFonts w:ascii="DejaVu Math TeX Gyre" w:hAnsi="DejaVu Math TeX Gyre" w:cs="宋体"/>
                <w:i/>
                <w:sz w:val="24"/>
                <w:szCs w:val="24"/>
              </w:rPr>
            </m:ctrlPr>
          </m:sSubPr>
          <m:e>
            <m:r>
              <m:rPr/>
              <w:rPr>
                <w:rStyle w:val="17"/>
                <w:rFonts w:ascii="DejaVu Math TeX Gyre" w:hAnsi="DejaVu Math TeX Gyre" w:cs="宋体"/>
                <w:sz w:val="24"/>
                <w:szCs w:val="24"/>
              </w:rPr>
              <m:t>θ</m:t>
            </m:r>
            <m:ctrlPr>
              <w:rPr>
                <w:rStyle w:val="17"/>
                <w:rFonts w:ascii="DejaVu Math TeX Gyre" w:hAnsi="DejaVu Math TeX Gyre" w:cs="宋体"/>
                <w:i/>
                <w:sz w:val="24"/>
                <w:szCs w:val="24"/>
              </w:rPr>
            </m:ctrlPr>
          </m:e>
          <m:sub>
            <m:r>
              <m:rPr/>
              <w:rPr>
                <w:rStyle w:val="17"/>
                <w:rFonts w:hint="default" w:ascii="DejaVu Math TeX Gyre" w:hAnsi="DejaVu Math TeX Gyre" w:cs="宋体"/>
                <w:sz w:val="24"/>
                <w:szCs w:val="24"/>
                <w:lang w:val="en-US"/>
              </w:rPr>
              <m:t>i</m:t>
            </m:r>
            <m:ctrlPr>
              <w:rPr>
                <w:rStyle w:val="17"/>
                <w:rFonts w:ascii="DejaVu Math TeX Gyre" w:hAnsi="DejaVu Math TeX Gyre" w:cs="宋体"/>
                <w:i/>
                <w:sz w:val="24"/>
                <w:szCs w:val="24"/>
              </w:rPr>
            </m:ctrlPr>
          </m:sub>
        </m:sSub>
      </m:oMath>
      <w:r>
        <w:rPr>
          <w:rFonts w:hint="eastAsia" w:ascii="宋体" w:hAnsi="宋体" w:eastAsia="宋体" w:cs="宋体"/>
          <w:sz w:val="24"/>
          <w:szCs w:val="24"/>
        </w:rPr>
        <w:t>参数位置的损失函数；</w:t>
      </w:r>
      <m:oMath>
        <m:sSub>
          <m:sSubPr>
            <m:ctrlPr>
              <w:rPr>
                <w:rStyle w:val="17"/>
                <w:rFonts w:ascii="DejaVu Math TeX Gyre" w:hAnsi="DejaVu Math TeX Gyre" w:cs="宋体"/>
                <w:i/>
                <w:sz w:val="24"/>
                <w:szCs w:val="24"/>
              </w:rPr>
            </m:ctrlPr>
          </m:sSubPr>
          <m:e>
            <m:r>
              <m:rPr/>
              <w:rPr>
                <w:rStyle w:val="17"/>
                <w:rFonts w:hint="default" w:ascii="DejaVu Math TeX Gyre" w:hAnsi="DejaVu Math TeX Gyre" w:cs="宋体"/>
                <w:sz w:val="24"/>
                <w:szCs w:val="24"/>
                <w:lang w:val="en-US"/>
              </w:rPr>
              <m:t>g</m:t>
            </m:r>
            <m:ctrlPr>
              <w:rPr>
                <w:rStyle w:val="17"/>
                <w:rFonts w:ascii="DejaVu Math TeX Gyre" w:hAnsi="DejaVu Math TeX Gyre" w:cs="宋体"/>
                <w:i/>
                <w:sz w:val="24"/>
                <w:szCs w:val="24"/>
              </w:rPr>
            </m:ctrlPr>
          </m:e>
          <m:sub>
            <m:r>
              <m:rPr/>
              <w:rPr>
                <w:rStyle w:val="17"/>
                <w:rFonts w:hint="default" w:ascii="DejaVu Math TeX Gyre" w:hAnsi="DejaVu Math TeX Gyre" w:cs="宋体"/>
                <w:sz w:val="24"/>
                <w:szCs w:val="24"/>
                <w:lang w:val="en-US"/>
              </w:rPr>
              <m:t>t</m:t>
            </m:r>
            <m:ctrlPr>
              <w:rPr>
                <w:rStyle w:val="17"/>
                <w:rFonts w:ascii="DejaVu Math TeX Gyre" w:hAnsi="DejaVu Math TeX Gyre" w:cs="宋体"/>
                <w:i/>
                <w:sz w:val="24"/>
                <w:szCs w:val="24"/>
              </w:rPr>
            </m:ctrlPr>
          </m:sub>
        </m:sSub>
      </m:oMath>
      <w:r>
        <w:rPr>
          <w:rFonts w:hint="eastAsia" w:ascii="宋体" w:hAnsi="宋体" w:eastAsia="宋体" w:cs="宋体"/>
          <w:sz w:val="24"/>
          <w:szCs w:val="24"/>
        </w:rPr>
        <w:t>第t次迭代中损失函数的梯度，即为一阶导函数；</w:t>
      </w:r>
      <m:oMath>
        <m:r>
          <m:rPr>
            <m:sty m:val="p"/>
          </m:rPr>
          <w:rPr>
            <w:rFonts w:ascii="DejaVu Math TeX Gyre" w:hAnsi="DejaVu Math TeX Gyre" w:cs="宋体"/>
            <w:sz w:val="24"/>
            <w:szCs w:val="24"/>
          </w:rPr>
          <m:t>α</m:t>
        </m:r>
      </m:oMath>
      <w:r>
        <w:rPr>
          <w:rFonts w:hint="eastAsia" w:ascii="宋体" w:hAnsi="宋体" w:eastAsia="宋体" w:cs="宋体"/>
          <w:sz w:val="24"/>
          <w:szCs w:val="24"/>
        </w:rPr>
        <w:t>表示学习率，</w:t>
      </w:r>
      <m:oMath>
        <m:r>
          <m:rPr>
            <m:sty m:val="p"/>
          </m:rPr>
          <w:rPr>
            <w:rFonts w:ascii="DejaVu Math TeX Gyre" w:hAnsi="DejaVu Math TeX Gyre" w:cs="宋体"/>
            <w:sz w:val="24"/>
            <w:szCs w:val="24"/>
          </w:rPr>
          <m:t>λ</m:t>
        </m:r>
      </m:oMath>
      <w:r>
        <w:rPr>
          <w:rFonts w:hint="eastAsia" w:ascii="宋体" w:hAnsi="宋体" w:eastAsia="宋体" w:cs="宋体"/>
          <w:sz w:val="24"/>
          <w:szCs w:val="24"/>
        </w:rPr>
        <w:t>表示权重衰减(weight decay)系数/正则项系数</w:t>
      </w:r>
      <w:r>
        <w:rPr>
          <w:rStyle w:val="17"/>
          <w:rFonts w:hint="eastAsia" w:ascii="宋体" w:hAnsi="宋体" w:eastAsia="宋体" w:cs="宋体"/>
          <w:sz w:val="24"/>
          <w:szCs w:val="24"/>
        </w:rPr>
        <w:t>。</w:t>
      </w:r>
      <w:r>
        <w:rPr>
          <w:rFonts w:hint="eastAsia" w:ascii="宋体" w:hAnsi="宋体" w:eastAsia="宋体" w:cs="宋体"/>
          <w:sz w:val="24"/>
          <w:szCs w:val="24"/>
        </w:rPr>
        <w:t>在此基础上根据求解一阶动量</w:t>
      </w:r>
      <m:oMath>
        <m:sSub>
          <m:sSubPr>
            <m:ctrlPr>
              <w:rPr>
                <w:rStyle w:val="17"/>
                <w:rFonts w:ascii="DejaVu Math TeX Gyre" w:hAnsi="DejaVu Math TeX Gyre" w:cs="宋体"/>
                <w:i/>
                <w:sz w:val="24"/>
                <w:szCs w:val="24"/>
              </w:rPr>
            </m:ctrlPr>
          </m:sSubPr>
          <m:e>
            <m:r>
              <m:rPr/>
              <w:rPr>
                <w:rStyle w:val="17"/>
                <w:rFonts w:ascii="DejaVu Math TeX Gyre" w:hAnsi="DejaVu Math TeX Gyre" w:cs="宋体"/>
                <w:sz w:val="24"/>
                <w:szCs w:val="24"/>
              </w:rPr>
              <m:t>ν</m:t>
            </m:r>
            <m:ctrlPr>
              <w:rPr>
                <w:rStyle w:val="17"/>
                <w:rFonts w:ascii="DejaVu Math TeX Gyre" w:hAnsi="DejaVu Math TeX Gyre" w:cs="宋体"/>
                <w:i/>
                <w:sz w:val="24"/>
                <w:szCs w:val="24"/>
              </w:rPr>
            </m:ctrlPr>
          </m:e>
          <m:sub>
            <m:r>
              <m:rPr/>
              <w:rPr>
                <w:rStyle w:val="17"/>
                <w:rFonts w:hint="default" w:ascii="DejaVu Math TeX Gyre" w:hAnsi="DejaVu Math TeX Gyre" w:cs="宋体"/>
                <w:sz w:val="24"/>
                <w:szCs w:val="24"/>
                <w:lang w:val="en-US"/>
              </w:rPr>
              <m:t>t</m:t>
            </m:r>
            <m:ctrlPr>
              <w:rPr>
                <w:rStyle w:val="17"/>
                <w:rFonts w:ascii="DejaVu Math TeX Gyre" w:hAnsi="DejaVu Math TeX Gyre" w:cs="宋体"/>
                <w:i/>
                <w:sz w:val="24"/>
                <w:szCs w:val="24"/>
              </w:rPr>
            </m:ctrlPr>
          </m:sub>
        </m:sSub>
      </m:oMath>
      <w:r>
        <w:rPr>
          <w:rFonts w:hint="eastAsia" w:ascii="宋体" w:hAnsi="宋体" w:eastAsia="宋体" w:cs="宋体"/>
          <w:sz w:val="24"/>
          <w:szCs w:val="24"/>
        </w:rPr>
        <w:t>和二阶动</w:t>
      </w:r>
      <w:r>
        <w:rPr>
          <w:rFonts w:hint="eastAsia" w:ascii="宋体" w:hAnsi="宋体" w:eastAsia="宋体" w:cs="宋体"/>
          <w:sz w:val="24"/>
          <w:szCs w:val="24"/>
          <w:lang w:val="en-US" w:eastAsia="zh-CN"/>
        </w:rPr>
        <w:t>量</w:t>
      </w:r>
      <m:oMath>
        <m:sSub>
          <m:sSubPr>
            <m:ctrlPr>
              <w:rPr>
                <w:rFonts w:ascii="DejaVu Math TeX Gyre" w:hAnsi="DejaVu Math TeX Gyre" w:cs="宋体"/>
                <w:i/>
                <w:sz w:val="24"/>
                <w:szCs w:val="24"/>
              </w:rPr>
            </m:ctrlPr>
          </m:sSubPr>
          <m:e>
            <m:r>
              <m:rPr/>
              <w:rPr>
                <w:rFonts w:hint="default" w:ascii="DejaVu Math TeX Gyre" w:hAnsi="DejaVu Math TeX Gyre" w:cs="宋体"/>
                <w:sz w:val="24"/>
                <w:szCs w:val="24"/>
                <w:lang w:val="en-US"/>
              </w:rPr>
              <m:t>n</m:t>
            </m:r>
            <m:ctrlPr>
              <w:rPr>
                <w:rFonts w:ascii="DejaVu Math TeX Gyre" w:hAnsi="DejaVu Math TeX Gyre" w:cs="宋体"/>
                <w:i/>
                <w:sz w:val="24"/>
                <w:szCs w:val="24"/>
              </w:rPr>
            </m:ctrlPr>
          </m:e>
          <m:sub>
            <m:r>
              <m:rPr/>
              <w:rPr>
                <w:rFonts w:hint="default" w:ascii="DejaVu Math TeX Gyre" w:hAnsi="DejaVu Math TeX Gyre" w:cs="宋体"/>
                <w:sz w:val="24"/>
                <w:szCs w:val="24"/>
                <w:lang w:val="en-US"/>
              </w:rPr>
              <m:t>t</m:t>
            </m:r>
            <m:ctrlPr>
              <w:rPr>
                <w:rFonts w:ascii="DejaVu Math TeX Gyre" w:hAnsi="DejaVu Math TeX Gyre" w:cs="宋体"/>
                <w:i/>
                <w:sz w:val="24"/>
                <w:szCs w:val="24"/>
              </w:rPr>
            </m:ctrlPr>
          </m:sub>
        </m:sSub>
      </m:oMath>
      <w:r>
        <w:rPr>
          <w:rFonts w:hint="eastAsia" w:ascii="宋体" w:hAnsi="宋体" w:eastAsia="宋体" w:cs="宋体"/>
          <w:sz w:val="24"/>
          <w:szCs w:val="24"/>
        </w:rPr>
        <w:t>：</w:t>
      </w:r>
      <w:r>
        <w:rPr>
          <w:rFonts w:hint="eastAsia" w:ascii="宋体" w:hAnsi="宋体" w:eastAsia="宋体" w:cs="宋体"/>
          <w:position w:val="-32"/>
          <w:sz w:val="24"/>
          <w:szCs w:val="24"/>
        </w:rPr>
        <w:object>
          <v:shape id="_x0000_i1027" o:spt="75" type="#_x0000_t75" style="height:37.9pt;width:109.15pt;" o:ole="t" filled="f" o:preferrelative="t" stroked="f" coordsize="21600,21600">
            <v:path/>
            <v:fill on="f" focussize="0,0"/>
            <v:stroke on="f" joinstyle="miter"/>
            <v:imagedata r:id="rId16" o:title=""/>
            <o:lock v:ext="edit" aspectratio="t"/>
            <w10:wrap type="none"/>
            <w10:anchorlock/>
          </v:shape>
          <o:OLEObject Type="Embed" ProgID="Equation.DSMT4" ShapeID="_x0000_i1027" DrawAspect="Content" ObjectID="_1468075727" r:id="rId15">
            <o:LockedField>false</o:LockedField>
          </o:OLEObject>
        </w:object>
      </w:r>
      <w:r>
        <w:rPr>
          <w:rFonts w:hint="eastAsia" w:ascii="宋体" w:hAnsi="宋体" w:eastAsia="宋体" w:cs="宋体"/>
          <w:sz w:val="24"/>
          <w:szCs w:val="24"/>
        </w:rPr>
        <w:t>，</w:t>
      </w:r>
      <w:r>
        <w:rPr>
          <w:rStyle w:val="17"/>
          <w:rFonts w:hint="eastAsia" w:ascii="宋体" w:hAnsi="宋体" w:eastAsia="宋体" w:cs="宋体"/>
          <w:sz w:val="24"/>
          <w:szCs w:val="24"/>
        </w:rPr>
        <w:object>
          <v:shape id="_x0000_i1028" o:spt="75" type="#_x0000_t75" style="height:18pt;width:30pt;" o:ole="t" filled="f" o:preferrelative="t" stroked="f" coordsize="21600,21600">
            <v:path/>
            <v:fill on="f" focussize="0,0"/>
            <v:stroke on="f" joinstyle="miter"/>
            <v:imagedata r:id="rId18" o:title=""/>
            <o:lock v:ext="edit" aspectratio="t"/>
            <w10:wrap type="none"/>
            <w10:anchorlock/>
          </v:shape>
          <o:OLEObject Type="Embed" ProgID="Equation.DSMT4" ShapeID="_x0000_i1028" DrawAspect="Content" ObjectID="_1468075728" r:id="rId17">
            <o:LockedField>false</o:LockedField>
          </o:OLEObject>
        </w:object>
      </w:r>
      <w:r>
        <w:rPr>
          <w:rFonts w:hint="eastAsia" w:ascii="宋体" w:hAnsi="宋体" w:eastAsia="宋体" w:cs="宋体"/>
          <w:sz w:val="24"/>
          <w:szCs w:val="24"/>
        </w:rPr>
        <w:t>为Adam优化器的平滑参数(用于动量指数平滑)。将上式代入参数更新公式：</w:t>
      </w:r>
    </w:p>
    <w:p w14:paraId="7BFA1C88">
      <w:pPr>
        <w:spacing w:before="156" w:beforeLines="50" w:line="480" w:lineRule="auto"/>
        <w:jc w:val="center"/>
        <w:rPr>
          <w:rFonts w:hint="eastAsia" w:ascii="宋体" w:hAnsi="宋体" w:eastAsia="宋体" w:cs="宋体"/>
          <w:sz w:val="24"/>
          <w:szCs w:val="24"/>
        </w:rPr>
      </w:pPr>
      <w:r>
        <w:rPr>
          <w:rFonts w:hint="eastAsia" w:ascii="宋体" w:hAnsi="宋体" w:eastAsia="宋体" w:cs="宋体"/>
          <w:position w:val="-34"/>
          <w:sz w:val="24"/>
          <w:szCs w:val="24"/>
        </w:rPr>
        <w:object>
          <v:shape id="_x0000_i1029" o:spt="75" type="#_x0000_t75" style="height:36pt;width:220.15pt;" o:ole="t" filled="f" o:preferrelative="t" stroked="f" coordsize="21600,21600">
            <v:path/>
            <v:fill on="f" focussize="0,0"/>
            <v:stroke on="f" joinstyle="miter"/>
            <v:imagedata r:id="rId20" o:title=""/>
            <o:lock v:ext="edit" aspectratio="t"/>
            <w10:wrap type="none"/>
            <w10:anchorlock/>
          </v:shape>
          <o:OLEObject Type="Embed" ProgID="Equation.DSMT4" ShapeID="_x0000_i1029" DrawAspect="Content" ObjectID="_1468075729" r:id="rId19">
            <o:LockedField>false</o:LockedField>
          </o:OLEObject>
        </w:object>
      </w:r>
    </w:p>
    <w:p w14:paraId="45258C09">
      <w:pPr>
        <w:spacing w:line="480" w:lineRule="auto"/>
        <w:ind w:firstLine="480"/>
        <w:rPr>
          <w:rFonts w:hint="eastAsia" w:ascii="宋体" w:hAnsi="宋体" w:eastAsia="宋体" w:cs="宋体"/>
          <w:sz w:val="24"/>
          <w:szCs w:val="24"/>
        </w:rPr>
      </w:pPr>
      <m:oMath>
        <m:r>
          <m:rPr>
            <m:sty m:val="p"/>
          </m:rPr>
          <w:rPr>
            <w:rStyle w:val="17"/>
            <w:rFonts w:ascii="DejaVu Math TeX Gyre" w:hAnsi="DejaVu Math TeX Gyre" w:cs="宋体"/>
            <w:sz w:val="24"/>
            <w:szCs w:val="24"/>
          </w:rPr>
          <m:t>ε</m:t>
        </m:r>
      </m:oMath>
      <w:r>
        <w:rPr>
          <w:rStyle w:val="17"/>
          <w:rFonts w:hint="eastAsia" w:ascii="宋体" w:hAnsi="宋体" w:eastAsia="宋体" w:cs="宋体"/>
          <w:sz w:val="24"/>
          <w:szCs w:val="24"/>
        </w:rPr>
        <w:t>为</w:t>
      </w:r>
      <w:r>
        <w:rPr>
          <w:rFonts w:hint="eastAsia" w:ascii="宋体" w:hAnsi="宋体" w:eastAsia="宋体" w:cs="宋体"/>
          <w:sz w:val="24"/>
          <w:szCs w:val="24"/>
        </w:rPr>
        <w:t>防止优化器算法除0而设置的保护参数。此处L2正则化的本意在于使得参数</w:t>
      </w:r>
      <m:oMath>
        <m:sSub>
          <m:sSubPr>
            <m:ctrlPr>
              <w:rPr>
                <w:rFonts w:ascii="DejaVu Math TeX Gyre" w:hAnsi="DejaVu Math TeX Gyre" w:cs="宋体"/>
                <w:i/>
                <w:sz w:val="24"/>
                <w:szCs w:val="24"/>
              </w:rPr>
            </m:ctrlPr>
          </m:sSubPr>
          <m:e>
            <m:r>
              <m:rPr/>
              <w:rPr>
                <w:rFonts w:ascii="DejaVu Math TeX Gyre" w:hAnsi="DejaVu Math TeX Gyre" w:cs="宋体"/>
                <w:sz w:val="24"/>
                <w:szCs w:val="24"/>
              </w:rPr>
              <m:t>θ</m:t>
            </m:r>
            <m:ctrlPr>
              <w:rPr>
                <w:rFonts w:ascii="DejaVu Math TeX Gyre" w:hAnsi="DejaVu Math TeX Gyre" w:cs="宋体"/>
                <w:i/>
                <w:sz w:val="24"/>
                <w:szCs w:val="24"/>
              </w:rPr>
            </m:ctrlPr>
          </m:e>
          <m:sub>
            <m:r>
              <m:rPr/>
              <w:rPr>
                <w:rFonts w:hint="default" w:ascii="DejaVu Math TeX Gyre" w:hAnsi="DejaVu Math TeX Gyre" w:cs="宋体"/>
                <w:sz w:val="24"/>
                <w:szCs w:val="24"/>
                <w:lang w:val="en-US"/>
              </w:rPr>
              <m:t>t</m:t>
            </m:r>
            <m:ctrlPr>
              <w:rPr>
                <w:rFonts w:ascii="DejaVu Math TeX Gyre" w:hAnsi="DejaVu Math TeX Gyre" w:cs="宋体"/>
                <w:i/>
                <w:sz w:val="24"/>
                <w:szCs w:val="24"/>
              </w:rPr>
            </m:ctrlPr>
          </m:sub>
        </m:sSub>
      </m:oMath>
      <w:r>
        <w:rPr>
          <w:rFonts w:hint="eastAsia" w:ascii="宋体" w:hAnsi="宋体" w:eastAsia="宋体" w:cs="宋体"/>
          <w:sz w:val="24"/>
          <w:szCs w:val="24"/>
        </w:rPr>
        <w:t>有着更小的值从而解决过拟合，但上式中，L2正则化系数的加入使得分子变大，但分母的二阶动量同样也受到正则化系数的影响，从而使得系数的更新变化变得模糊，正则化效果可能会被削弱甚至出现负面效果。</w:t>
      </w:r>
    </w:p>
    <w:p w14:paraId="4C7A1999">
      <w:pPr>
        <w:spacing w:line="480" w:lineRule="auto"/>
        <w:ind w:firstLine="480"/>
        <w:rPr>
          <w:rFonts w:hint="eastAsia" w:ascii="宋体" w:hAnsi="宋体" w:eastAsia="宋体" w:cs="宋体"/>
          <w:sz w:val="24"/>
          <w:szCs w:val="24"/>
        </w:rPr>
      </w:pPr>
      <w:r>
        <w:rPr>
          <w:rFonts w:hint="eastAsia" w:ascii="宋体" w:hAnsi="宋体" w:eastAsia="宋体" w:cs="宋体"/>
          <w:sz w:val="24"/>
          <w:szCs w:val="24"/>
        </w:rPr>
        <w:t>对此，AdamW做出技术改变，将weight decay惩罚项从损失函数梯度更新中分离，并直接把其加入到参数更新中：</w:t>
      </w:r>
    </w:p>
    <w:p w14:paraId="0334E4BE">
      <w:pPr>
        <w:spacing w:line="480" w:lineRule="auto"/>
        <w:jc w:val="center"/>
        <w:rPr>
          <w:rFonts w:hint="eastAsia" w:ascii="宋体" w:hAnsi="宋体" w:eastAsia="宋体" w:cs="宋体"/>
          <w:sz w:val="24"/>
          <w:szCs w:val="24"/>
        </w:rPr>
      </w:pPr>
      <w:r>
        <w:rPr>
          <w:rFonts w:hint="eastAsia" w:ascii="宋体" w:hAnsi="宋体" w:eastAsia="宋体" w:cs="宋体"/>
          <w:position w:val="-34"/>
          <w:sz w:val="24"/>
          <w:szCs w:val="24"/>
        </w:rPr>
        <w:object>
          <v:shape id="_x0000_i1030" o:spt="75" type="#_x0000_t75" style="height:36pt;width:222pt;" o:ole="t" filled="f" o:preferrelative="t" stroked="f" coordsize="21600,21600">
            <v:path/>
            <v:fill on="f" focussize="0,0"/>
            <v:stroke on="f" joinstyle="miter"/>
            <v:imagedata r:id="rId22" o:title=""/>
            <o:lock v:ext="edit" aspectratio="t"/>
            <w10:wrap type="none"/>
            <w10:anchorlock/>
          </v:shape>
          <o:OLEObject Type="Embed" ProgID="Equation.DSMT4" ShapeID="_x0000_i1030" DrawAspect="Content" ObjectID="_1468075730" r:id="rId21">
            <o:LockedField>false</o:LockedField>
          </o:OLEObject>
        </w:object>
      </w:r>
    </w:p>
    <w:p w14:paraId="1F37FE8E">
      <w:pPr>
        <w:spacing w:line="480" w:lineRule="auto"/>
        <w:ind w:firstLine="480"/>
        <w:rPr>
          <w:rFonts w:hint="eastAsia" w:ascii="宋体" w:hAnsi="宋体" w:eastAsia="宋体" w:cs="宋体"/>
          <w:sz w:val="24"/>
          <w:szCs w:val="24"/>
        </w:rPr>
      </w:pPr>
      <w:r>
        <w:rPr>
          <w:rFonts w:hint="eastAsia" w:ascii="宋体" w:hAnsi="宋体" w:eastAsia="宋体" w:cs="宋体"/>
          <w:sz w:val="24"/>
          <w:szCs w:val="24"/>
        </w:rPr>
        <w:t>这样可以直接做到L2正则化的效果，并且不会造成结果的负面影响，从而一定程度上缓解了模型训练的过拟合问题。这一结果在最终回测中记录为NN2_3。</w:t>
      </w:r>
    </w:p>
    <w:p w14:paraId="674ECEF1">
      <w:pPr>
        <w:widowControl/>
        <w:numPr>
          <w:ilvl w:val="0"/>
          <w:numId w:val="0"/>
        </w:numPr>
        <w:spacing w:line="480" w:lineRule="auto"/>
        <w:ind w:leftChars="0"/>
        <w:jc w:val="left"/>
        <w:outlineLvl w:val="1"/>
        <w:rPr>
          <w:rFonts w:hint="eastAsia" w:ascii="黑体" w:hAnsi="黑体" w:eastAsia="黑体" w:cs="黑体"/>
          <w:b w:val="0"/>
          <w:bCs w:val="0"/>
          <w:kern w:val="0"/>
          <w:sz w:val="24"/>
          <w:szCs w:val="24"/>
        </w:rPr>
      </w:pPr>
      <w:r>
        <w:rPr>
          <w:rFonts w:hint="eastAsia" w:ascii="黑体" w:hAnsi="黑体" w:eastAsia="黑体" w:cs="黑体"/>
          <w:b w:val="0"/>
          <w:bCs w:val="0"/>
          <w:kern w:val="0"/>
          <w:sz w:val="24"/>
          <w:szCs w:val="24"/>
          <w:lang w:val="en-US" w:eastAsia="zh-CN"/>
        </w:rPr>
        <w:t xml:space="preserve">3.2 </w:t>
      </w:r>
      <w:r>
        <w:rPr>
          <w:rFonts w:hint="eastAsia" w:ascii="黑体" w:hAnsi="黑体" w:eastAsia="黑体" w:cs="黑体"/>
          <w:b w:val="0"/>
          <w:bCs w:val="0"/>
          <w:kern w:val="0"/>
          <w:sz w:val="24"/>
          <w:szCs w:val="24"/>
        </w:rPr>
        <w:t>基于Transformer的股票因子数据建模</w:t>
      </w:r>
    </w:p>
    <w:p w14:paraId="21772EA1">
      <w:pPr>
        <w:spacing w:line="48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为进一步提升股票因子数据的建模能力，</w:t>
      </w:r>
      <w:r>
        <w:rPr>
          <w:rFonts w:hint="eastAsia" w:ascii="宋体" w:hAnsi="宋体" w:eastAsia="宋体" w:cs="宋体"/>
          <w:sz w:val="24"/>
          <w:szCs w:val="24"/>
          <w:lang w:eastAsia="zh-CN"/>
        </w:rPr>
        <w:t>本小组</w:t>
      </w:r>
      <w:r>
        <w:rPr>
          <w:rFonts w:hint="eastAsia" w:ascii="宋体" w:hAnsi="宋体" w:eastAsia="宋体" w:cs="宋体"/>
          <w:sz w:val="24"/>
          <w:szCs w:val="24"/>
        </w:rPr>
        <w:t>引入了Transformer架构。Transformer由Vaswani等人提出，其核心在于自注意力（Self-Attention）机制，能够捕捉输入数据中各部分之间的全局依赖关系。相比传统的全连接网络或循环神经网络，Transformer不仅在建模长距离特征交互方面更为精确，而且天生支持高效并行计算，从而大幅加速模型训练。</w:t>
      </w:r>
    </w:p>
    <w:p w14:paraId="46908789">
      <w:pPr>
        <w:spacing w:line="48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在</w:t>
      </w:r>
      <w:r>
        <w:rPr>
          <w:rFonts w:hint="eastAsia" w:ascii="宋体" w:hAnsi="宋体" w:eastAsia="宋体" w:cs="宋体"/>
          <w:sz w:val="24"/>
          <w:szCs w:val="24"/>
          <w:lang w:eastAsia="zh-CN"/>
        </w:rPr>
        <w:t>本小组</w:t>
      </w:r>
      <w:r>
        <w:rPr>
          <w:rFonts w:hint="eastAsia" w:ascii="宋体" w:hAnsi="宋体" w:eastAsia="宋体" w:cs="宋体"/>
          <w:sz w:val="24"/>
          <w:szCs w:val="24"/>
        </w:rPr>
        <w:t>的探索中，Transformer模型的基本设置与改进后的全连接网络保持一致，主要包括采用AdamW优化器以确保参数更新的稳定性并强化正则化效果，以及保持相同的激活函数和基础超参数，从而在对比实验中消除其他变量的干扰。通过这种设计，</w:t>
      </w:r>
      <w:r>
        <w:rPr>
          <w:rFonts w:hint="eastAsia" w:ascii="宋体" w:hAnsi="宋体" w:eastAsia="宋体" w:cs="宋体"/>
          <w:sz w:val="24"/>
          <w:szCs w:val="24"/>
          <w:lang w:eastAsia="zh-CN"/>
        </w:rPr>
        <w:t>本小组</w:t>
      </w:r>
      <w:r>
        <w:rPr>
          <w:rFonts w:hint="eastAsia" w:ascii="宋体" w:hAnsi="宋体" w:eastAsia="宋体" w:cs="宋体"/>
          <w:sz w:val="24"/>
          <w:szCs w:val="24"/>
        </w:rPr>
        <w:t>期望利用Attention机制更深层次地挖掘股票因子之间的复杂交互信息，进而提升预测的准确性与鲁棒性。</w:t>
      </w:r>
    </w:p>
    <w:p w14:paraId="3C93C0E4">
      <w:pPr>
        <w:spacing w:line="48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为实现该目标，</w:t>
      </w:r>
      <w:r>
        <w:rPr>
          <w:rFonts w:hint="eastAsia" w:ascii="宋体" w:hAnsi="宋体" w:eastAsia="宋体" w:cs="宋体"/>
          <w:sz w:val="24"/>
          <w:szCs w:val="24"/>
          <w:lang w:eastAsia="zh-CN"/>
        </w:rPr>
        <w:t>本小组</w:t>
      </w:r>
      <w:r>
        <w:rPr>
          <w:rFonts w:hint="eastAsia" w:ascii="宋体" w:hAnsi="宋体" w:eastAsia="宋体" w:cs="宋体"/>
          <w:sz w:val="24"/>
          <w:szCs w:val="24"/>
        </w:rPr>
        <w:t>继承torch.nn.module模块，按照Transformer最初的设计构想，自定义实现了以下关键类函数：</w:t>
      </w:r>
    </w:p>
    <w:p w14:paraId="12DE4D04">
      <w:pPr>
        <w:numPr>
          <w:ilvl w:val="0"/>
          <w:numId w:val="9"/>
        </w:numPr>
        <w:spacing w:line="480" w:lineRule="auto"/>
        <w:ind w:left="0" w:leftChars="0" w:firstLine="0" w:firstLineChars="0"/>
        <w:rPr>
          <w:rFonts w:hint="eastAsia" w:ascii="宋体" w:hAnsi="宋体" w:eastAsia="宋体" w:cs="宋体"/>
          <w:b w:val="0"/>
          <w:bCs w:val="0"/>
          <w:sz w:val="24"/>
          <w:szCs w:val="24"/>
        </w:rPr>
      </w:pPr>
      <w:r>
        <w:rPr>
          <w:rFonts w:hint="eastAsia" w:ascii="宋体" w:hAnsi="宋体" w:eastAsia="宋体" w:cs="宋体"/>
          <w:b w:val="0"/>
          <w:bCs w:val="0"/>
          <w:kern w:val="0"/>
          <w:sz w:val="24"/>
          <w:szCs w:val="24"/>
        </w:rPr>
        <w:t>Positional</w:t>
      </w:r>
      <w:r>
        <w:rPr>
          <w:rFonts w:hint="default" w:ascii="宋体" w:hAnsi="宋体" w:eastAsia="宋体" w:cs="宋体"/>
          <w:b w:val="0"/>
          <w:bCs w:val="0"/>
          <w:kern w:val="0"/>
          <w:sz w:val="24"/>
          <w:szCs w:val="24"/>
          <w:lang w:val="en-US"/>
        </w:rPr>
        <w:t xml:space="preserve"> </w:t>
      </w:r>
      <w:r>
        <w:rPr>
          <w:rFonts w:hint="eastAsia" w:ascii="宋体" w:hAnsi="宋体" w:eastAsia="宋体" w:cs="宋体"/>
          <w:b w:val="0"/>
          <w:bCs w:val="0"/>
          <w:kern w:val="0"/>
          <w:sz w:val="24"/>
          <w:szCs w:val="24"/>
        </w:rPr>
        <w:t>Encoding模块</w:t>
      </w:r>
    </w:p>
    <w:p w14:paraId="30F5FD36">
      <w:pPr>
        <w:spacing w:line="48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Transformer的并行处理特性使其缺乏序列顺序信息，因此需要引入位置编码。该模块通过对位置向量应用正弦和余弦变换，将位置信息编码到输入特征中。具体而言，构造函数中生成一个形状为(max_len, d_model)的编码矩阵，并分别对偶数和奇数维度应用正弦和余弦函数。其forward方法则将输入张量与相应位置编码相加，</w:t>
      </w:r>
      <w:r>
        <w:rPr>
          <w:rFonts w:hint="eastAsia" w:ascii="宋体" w:hAnsi="宋体" w:eastAsia="宋体" w:cs="宋体"/>
          <w:sz w:val="24"/>
          <w:szCs w:val="24"/>
          <w:lang w:val="en-US" w:eastAsia="zh-CN"/>
        </w:rPr>
        <w:t>使</w:t>
      </w:r>
      <w:r>
        <w:rPr>
          <w:rFonts w:hint="eastAsia" w:ascii="宋体" w:hAnsi="宋体" w:eastAsia="宋体" w:cs="宋体"/>
          <w:sz w:val="24"/>
          <w:szCs w:val="24"/>
        </w:rPr>
        <w:t>模型能够区分不同位置的特征。</w:t>
      </w:r>
    </w:p>
    <w:p w14:paraId="0B2CBC72">
      <w:pPr>
        <w:spacing w:line="480" w:lineRule="auto"/>
        <w:ind w:left="0" w:leftChars="0" w:firstLine="0"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900295" cy="1788795"/>
            <wp:effectExtent l="0" t="0" r="190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4912720" cy="1793326"/>
                    </a:xfrm>
                    <a:prstGeom prst="rect">
                      <a:avLst/>
                    </a:prstGeom>
                  </pic:spPr>
                </pic:pic>
              </a:graphicData>
            </a:graphic>
          </wp:inline>
        </w:drawing>
      </w:r>
    </w:p>
    <w:p w14:paraId="7F21A191">
      <w:pPr>
        <w:pStyle w:val="42"/>
        <w:widowControl/>
        <w:numPr>
          <w:ilvl w:val="0"/>
          <w:numId w:val="9"/>
        </w:numPr>
        <w:spacing w:line="480" w:lineRule="auto"/>
        <w:ind w:left="0" w:leftChars="0" w:firstLine="0" w:firstLineChars="0"/>
        <w:jc w:val="left"/>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Transformer模型实现</w:t>
      </w:r>
    </w:p>
    <w:p w14:paraId="67FFD4AF">
      <w:pPr>
        <w:spacing w:line="48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模型首先通过一个线性层将输入数据映射到d_model维度，然后经过reshape和transpose调整为Transformer所需的序列格式。接下来，经过PositionalEncoding模块加入位置信息后，数据传入由多个TransformerEncoderLayer组成的编码器，利用自注意力机制提取全局特征。最后，通过一个线性解码层将编码后的特征映射至预测输出，并对输出进行适当变换以获得最终结果。</w:t>
      </w:r>
    </w:p>
    <w:p w14:paraId="1532750F">
      <w:pPr>
        <w:spacing w:line="48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981575" cy="2852420"/>
            <wp:effectExtent l="0" t="0" r="22225"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001546" cy="2863875"/>
                    </a:xfrm>
                    <a:prstGeom prst="rect">
                      <a:avLst/>
                    </a:prstGeom>
                  </pic:spPr>
                </pic:pic>
              </a:graphicData>
            </a:graphic>
          </wp:inline>
        </w:drawing>
      </w:r>
    </w:p>
    <w:p w14:paraId="5C8F3622">
      <w:pPr>
        <w:spacing w:line="480" w:lineRule="auto"/>
        <w:ind w:firstLine="480" w:firstLineChars="200"/>
        <w:rPr>
          <w:rFonts w:hint="eastAsia" w:ascii="宋体" w:hAnsi="宋体" w:eastAsia="宋体" w:cs="宋体"/>
          <w:sz w:val="21"/>
          <w:szCs w:val="21"/>
        </w:rPr>
      </w:pPr>
      <w:r>
        <w:rPr>
          <w:rFonts w:hint="eastAsia" w:ascii="宋体" w:hAnsi="宋体" w:eastAsia="宋体" w:cs="宋体"/>
          <w:sz w:val="24"/>
          <w:szCs w:val="24"/>
        </w:rPr>
        <w:t>总体而言，</w:t>
      </w:r>
      <w:r>
        <w:rPr>
          <w:rFonts w:hint="eastAsia" w:ascii="宋体" w:hAnsi="宋体" w:eastAsia="宋体" w:cs="宋体"/>
          <w:sz w:val="24"/>
          <w:szCs w:val="24"/>
          <w:lang w:eastAsia="zh-CN"/>
        </w:rPr>
        <w:t>本小组</w:t>
      </w:r>
      <w:r>
        <w:rPr>
          <w:rFonts w:hint="eastAsia" w:ascii="宋体" w:hAnsi="宋体" w:eastAsia="宋体" w:cs="宋体"/>
          <w:sz w:val="24"/>
          <w:szCs w:val="24"/>
        </w:rPr>
        <w:t>通过引入Transformer架构和相关位置编码机制，力图在股票因子数据中捕捉更丰富的全局依赖和特征交互信息。该模型设计不仅在结构上保持了与全连接网络实验的一致性，也充分利用了Transformer在并行计算和长距离依赖建模上的优势，为提升预测精度与鲁棒性提供了新的思路和方法。</w:t>
      </w:r>
    </w:p>
    <w:p w14:paraId="0CFBB5E6">
      <w:pPr>
        <w:widowControl/>
        <w:numPr>
          <w:ilvl w:val="0"/>
          <w:numId w:val="0"/>
        </w:numPr>
        <w:spacing w:line="480" w:lineRule="auto"/>
        <w:ind w:leftChars="0"/>
        <w:jc w:val="left"/>
        <w:outlineLvl w:val="1"/>
        <w:rPr>
          <w:rFonts w:hint="eastAsia" w:ascii="黑体" w:hAnsi="黑体" w:eastAsia="黑体" w:cs="黑体"/>
          <w:b w:val="0"/>
          <w:bCs w:val="0"/>
          <w:kern w:val="0"/>
          <w:sz w:val="24"/>
          <w:szCs w:val="24"/>
          <w:lang w:val="en-US" w:eastAsia="zh-CN"/>
        </w:rPr>
      </w:pPr>
      <w:r>
        <w:rPr>
          <w:rFonts w:hint="eastAsia" w:ascii="黑体" w:hAnsi="黑体" w:eastAsia="黑体" w:cs="黑体"/>
          <w:b w:val="0"/>
          <w:bCs w:val="0"/>
          <w:kern w:val="0"/>
          <w:sz w:val="24"/>
          <w:szCs w:val="24"/>
          <w:lang w:val="en-US" w:eastAsia="zh-CN"/>
        </w:rPr>
        <w:t xml:space="preserve">3.3 </w:t>
      </w:r>
      <w:r>
        <w:rPr>
          <w:rFonts w:hint="eastAsia" w:ascii="黑体" w:hAnsi="黑体" w:eastAsia="黑体" w:cs="黑体"/>
          <w:b w:val="0"/>
          <w:bCs w:val="0"/>
          <w:kern w:val="0"/>
          <w:sz w:val="24"/>
          <w:szCs w:val="24"/>
        </w:rPr>
        <w:t>GBRT</w:t>
      </w:r>
      <w:r>
        <w:rPr>
          <w:rFonts w:hint="eastAsia" w:ascii="黑体" w:hAnsi="黑体" w:eastAsia="黑体" w:cs="黑体"/>
          <w:b w:val="0"/>
          <w:bCs w:val="0"/>
          <w:kern w:val="0"/>
          <w:sz w:val="24"/>
          <w:szCs w:val="24"/>
          <w:lang w:val="en-US" w:eastAsia="zh-CN"/>
        </w:rPr>
        <w:t>的改进</w:t>
      </w:r>
    </w:p>
    <w:p w14:paraId="0DE360F0">
      <w:pPr>
        <w:widowControl/>
        <w:numPr>
          <w:ilvl w:val="0"/>
          <w:numId w:val="10"/>
        </w:numPr>
        <w:spacing w:line="480" w:lineRule="auto"/>
        <w:ind w:left="0" w:leftChars="0" w:firstLine="0" w:firstLineChars="0"/>
        <w:jc w:val="left"/>
        <w:outlineLvl w:val="9"/>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在LGBM中的正则化与随机采样改进</w:t>
      </w:r>
    </w:p>
    <w:p w14:paraId="3EADDB6B">
      <w:pPr>
        <w:spacing w:line="48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在最初的LGBM实现中，</w:t>
      </w:r>
      <w:r>
        <w:rPr>
          <w:rFonts w:hint="eastAsia" w:ascii="宋体" w:hAnsi="宋体" w:eastAsia="宋体" w:cs="宋体"/>
          <w:sz w:val="24"/>
          <w:szCs w:val="24"/>
          <w:lang w:eastAsia="zh-CN"/>
        </w:rPr>
        <w:t>本小组</w:t>
      </w:r>
      <w:r>
        <w:rPr>
          <w:rFonts w:hint="eastAsia" w:ascii="宋体" w:hAnsi="宋体" w:eastAsia="宋体" w:cs="宋体"/>
          <w:sz w:val="24"/>
          <w:szCs w:val="24"/>
        </w:rPr>
        <w:t>采用了GBRT框架并使用Huber目标函数，但发现模型存在过拟合风险，并容易受到噪音影响。为了解决这一问题，</w:t>
      </w:r>
      <w:r>
        <w:rPr>
          <w:rFonts w:hint="eastAsia" w:ascii="宋体" w:hAnsi="宋体" w:eastAsia="宋体" w:cs="宋体"/>
          <w:sz w:val="24"/>
          <w:szCs w:val="24"/>
          <w:lang w:eastAsia="zh-CN"/>
        </w:rPr>
        <w:t>本小组</w:t>
      </w:r>
      <w:r>
        <w:rPr>
          <w:rFonts w:hint="eastAsia" w:ascii="宋体" w:hAnsi="宋体" w:eastAsia="宋体" w:cs="宋体"/>
          <w:sz w:val="24"/>
          <w:szCs w:val="24"/>
        </w:rPr>
        <w:t>在调参过程中引入了subsample和feature_fraction参数。这两个参数的设置旨在增加模型的偏置，从而减少模型在训练过程中对噪音的过度拟合。通过只使用部分数据（subsample）以及部分特征（feature_fraction）来训练每一棵树，模型能够在学习残差时避免捕捉到过多的噪音信息，从而提升预测的稳定性。</w:t>
      </w:r>
    </w:p>
    <w:p w14:paraId="2EC77D40">
      <w:pPr>
        <w:spacing w:line="48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与此同时，为了在防止过拟合的同时使模型学习得更精细，</w:t>
      </w:r>
      <w:r>
        <w:rPr>
          <w:rFonts w:hint="eastAsia" w:ascii="宋体" w:hAnsi="宋体" w:eastAsia="宋体" w:cs="宋体"/>
          <w:sz w:val="24"/>
          <w:szCs w:val="24"/>
          <w:lang w:eastAsia="zh-CN"/>
        </w:rPr>
        <w:t>本小组</w:t>
      </w:r>
      <w:r>
        <w:rPr>
          <w:rFonts w:hint="eastAsia" w:ascii="宋体" w:hAnsi="宋体" w:eastAsia="宋体" w:cs="宋体"/>
          <w:sz w:val="24"/>
          <w:szCs w:val="24"/>
        </w:rPr>
        <w:t>调整了其他关键超参数。</w:t>
      </w:r>
      <w:r>
        <w:rPr>
          <w:rFonts w:hint="eastAsia" w:ascii="宋体" w:hAnsi="宋体" w:eastAsia="宋体" w:cs="宋体"/>
          <w:sz w:val="24"/>
          <w:szCs w:val="24"/>
          <w:lang w:eastAsia="zh-CN"/>
        </w:rPr>
        <w:t>本小组</w:t>
      </w:r>
      <w:r>
        <w:rPr>
          <w:rFonts w:hint="eastAsia" w:ascii="宋体" w:hAnsi="宋体" w:eastAsia="宋体" w:cs="宋体"/>
          <w:sz w:val="24"/>
          <w:szCs w:val="24"/>
        </w:rPr>
        <w:t>选择调大n_estimators，并相应地调小学习率。这一组合策略使得模型在迭代过程中能够以更小的步长逐步优化预测结果，对残差的拟合更加细致，从而进一步提高整体学习效果和预测精度。</w:t>
      </w:r>
    </w:p>
    <w:p w14:paraId="628C465F">
      <w:pPr>
        <w:widowControl/>
        <w:numPr>
          <w:ilvl w:val="0"/>
          <w:numId w:val="10"/>
        </w:numPr>
        <w:spacing w:line="480" w:lineRule="auto"/>
        <w:ind w:left="0" w:leftChars="0" w:firstLine="0" w:firstLineChars="0"/>
        <w:jc w:val="left"/>
        <w:outlineLvl w:val="9"/>
        <w:rPr>
          <w:rFonts w:hint="eastAsia" w:ascii="宋体" w:hAnsi="宋体" w:eastAsia="宋体" w:cs="宋体"/>
          <w:b w:val="0"/>
          <w:bCs w:val="0"/>
          <w:kern w:val="0"/>
          <w:sz w:val="24"/>
          <w:szCs w:val="24"/>
        </w:rPr>
      </w:pPr>
      <w:r>
        <w:rPr>
          <w:rFonts w:hint="eastAsia" w:ascii="宋体" w:hAnsi="宋体" w:eastAsia="宋体" w:cs="宋体"/>
          <w:b w:val="0"/>
          <w:bCs w:val="0"/>
          <w:kern w:val="0"/>
          <w:sz w:val="24"/>
          <w:szCs w:val="24"/>
        </w:rPr>
        <w:t>从LGBM到XGBoost的迁移</w:t>
      </w:r>
    </w:p>
    <w:p w14:paraId="3A748BB2">
      <w:pPr>
        <w:spacing w:line="48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在第一阶段改进的基础上，为进一步提升训练速度和预测精度，</w:t>
      </w:r>
      <w:r>
        <w:rPr>
          <w:rFonts w:hint="eastAsia" w:ascii="宋体" w:hAnsi="宋体" w:eastAsia="宋体" w:cs="宋体"/>
          <w:sz w:val="24"/>
          <w:szCs w:val="24"/>
          <w:lang w:eastAsia="zh-CN"/>
        </w:rPr>
        <w:t>本小组</w:t>
      </w:r>
      <w:r>
        <w:rPr>
          <w:rFonts w:hint="eastAsia" w:ascii="宋体" w:hAnsi="宋体" w:eastAsia="宋体" w:cs="宋体"/>
          <w:sz w:val="24"/>
          <w:szCs w:val="24"/>
        </w:rPr>
        <w:t>将模型从LGBM切换至XGBoost。XGBoost不仅延续了梯度提升框架的优势，还具备许多针对大规模高维数据优化的特性。XGBoost原生支持GPU加速，这在大规模数据下可以显著缩短训练时间，对高维特征和大量训练样本的股票收益率预测任务尤为关键。虽然Lgbm也有GPU加速的接口，但配置环境比XGBoost麻烦很多，成本比较高，在适配度上相对弱于XGBoost。</w:t>
      </w:r>
    </w:p>
    <w:p w14:paraId="5008C3F5">
      <w:pPr>
        <w:spacing w:line="48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此外，XGBoost在特征切分上采用了更精细的算法。相比于LGBM，XGBoost能够更准确地找到最佳切分点，充分挖掘数据中的非线性关系和细微特征变化。这种精细的特征切分机制使得每棵决策树在拟合残差时能够更有效地利用信息，进一步提高整体模型的预测效果。</w:t>
      </w:r>
    </w:p>
    <w:p w14:paraId="10979B0B">
      <w:pPr>
        <w:keepNext w:val="0"/>
        <w:keepLines w:val="0"/>
        <w:pageBreakBefore w:val="0"/>
        <w:widowControl w:val="0"/>
        <w:numPr>
          <w:ilvl w:val="0"/>
          <w:numId w:val="4"/>
        </w:numPr>
        <w:kinsoku/>
        <w:wordWrap/>
        <w:overflowPunct/>
        <w:topLinePunct w:val="0"/>
        <w:autoSpaceDE/>
        <w:autoSpaceDN/>
        <w:bidi w:val="0"/>
        <w:adjustRightInd/>
        <w:snapToGrid/>
        <w:spacing w:line="480" w:lineRule="auto"/>
        <w:ind w:left="-420" w:leftChars="0" w:firstLine="420" w:firstLineChars="0"/>
        <w:textAlignment w:val="auto"/>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验证样本分割与调参</w:t>
      </w:r>
    </w:p>
    <w:p w14:paraId="097AB100">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 样本分割方法</w:t>
      </w:r>
    </w:p>
    <w:p w14:paraId="23E37913">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为了确保模型的预测性能能够在样本外数据上得到有效验证，</w:t>
      </w: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参考文献中的时间序列分割方法，将样本划分为三个不相交的时间段：训练集、验证集和测试集。这种划分方法不仅保持了数据的时间顺序，还模拟了模型在实际应用中的样本外测试场景。其中，</w:t>
      </w:r>
      <w:r>
        <w:rPr>
          <w:rFonts w:hint="eastAsia" w:ascii="宋体" w:hAnsi="宋体" w:eastAsia="宋体" w:cs="宋体"/>
          <w:b/>
          <w:bCs/>
          <w:sz w:val="24"/>
          <w:szCs w:val="24"/>
          <w:lang w:val="en-US" w:eastAsia="zh-CN"/>
        </w:rPr>
        <w:t>训练集</w:t>
      </w:r>
      <w:r>
        <w:rPr>
          <w:rFonts w:hint="eastAsia" w:ascii="宋体" w:hAnsi="宋体" w:eastAsia="宋体" w:cs="宋体"/>
          <w:sz w:val="24"/>
          <w:szCs w:val="24"/>
          <w:lang w:val="en-US" w:eastAsia="zh-CN"/>
        </w:rPr>
        <w:t>用于根据一组特定的调优参数值估计模型；</w:t>
      </w:r>
      <w:r>
        <w:rPr>
          <w:rFonts w:hint="eastAsia" w:ascii="宋体" w:hAnsi="宋体" w:eastAsia="宋体" w:cs="宋体"/>
          <w:b/>
          <w:bCs/>
          <w:sz w:val="24"/>
          <w:szCs w:val="24"/>
          <w:lang w:val="en-US" w:eastAsia="zh-CN"/>
        </w:rPr>
        <w:t>验证集</w:t>
      </w:r>
      <w:r>
        <w:rPr>
          <w:rFonts w:hint="eastAsia" w:ascii="宋体" w:hAnsi="宋体" w:eastAsia="宋体" w:cs="宋体"/>
          <w:sz w:val="24"/>
          <w:szCs w:val="24"/>
          <w:lang w:val="en-US" w:eastAsia="zh-CN"/>
        </w:rPr>
        <w:t>用于调优超参数，基于训练集估计的模型对验证集进行预测，并根据预测误差计算目标函数，迭代搜索最优超参数；</w:t>
      </w:r>
      <w:r>
        <w:rPr>
          <w:rFonts w:hint="eastAsia" w:ascii="宋体" w:hAnsi="宋体" w:eastAsia="宋体" w:cs="宋体"/>
          <w:b/>
          <w:bCs/>
          <w:sz w:val="24"/>
          <w:szCs w:val="24"/>
          <w:lang w:val="en-US" w:eastAsia="zh-CN"/>
        </w:rPr>
        <w:t>测试集</w:t>
      </w:r>
      <w:r>
        <w:rPr>
          <w:rFonts w:hint="eastAsia" w:ascii="宋体" w:hAnsi="宋体" w:eastAsia="宋体" w:cs="宋体"/>
          <w:sz w:val="24"/>
          <w:szCs w:val="24"/>
          <w:lang w:val="en-US" w:eastAsia="zh-CN"/>
        </w:rPr>
        <w:t>既不用于模型估计，也不用于超参数调优，是真正的样本外数据，用于评估模型的最终预测性能。</w:t>
      </w:r>
    </w:p>
    <w:p w14:paraId="20994949">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通过这种划分方法，</w:t>
      </w: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能够有效避免模型在训练和调参过程中对测试数据的过拟合，从而更准确地评估模型的泛化能力。</w:t>
      </w:r>
    </w:p>
    <w:p w14:paraId="04A798E1">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 时间序列滚动划分</w:t>
      </w:r>
    </w:p>
    <w:p w14:paraId="79C2F44F">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为了充分利用时间序列数据，</w:t>
      </w: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采用滚动窗口的方法对数据集进行划分。具体划分逻辑为：</w:t>
      </w:r>
    </w:p>
    <w:p w14:paraId="173A7CB1">
      <w:pPr>
        <w:keepNext w:val="0"/>
        <w:keepLines w:val="0"/>
        <w:pageBreakBefore w:val="0"/>
        <w:widowControl w:val="0"/>
        <w:numPr>
          <w:ilvl w:val="0"/>
          <w:numId w:val="11"/>
        </w:numPr>
        <w:kinsoku/>
        <w:wordWrap/>
        <w:overflowPunct/>
        <w:topLinePunct w:val="0"/>
        <w:autoSpaceDE/>
        <w:autoSpaceDN/>
        <w:bidi w:val="0"/>
        <w:adjustRightInd/>
        <w:snapToGrid/>
        <w:spacing w:line="48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从数据集的起点开始，依次划分训练集、验证集和测试集；</w:t>
      </w:r>
    </w:p>
    <w:p w14:paraId="1F7343B4">
      <w:pPr>
        <w:keepNext w:val="0"/>
        <w:keepLines w:val="0"/>
        <w:pageBreakBefore w:val="0"/>
        <w:widowControl w:val="0"/>
        <w:numPr>
          <w:ilvl w:val="0"/>
          <w:numId w:val="11"/>
        </w:numPr>
        <w:kinsoku/>
        <w:wordWrap/>
        <w:overflowPunct/>
        <w:topLinePunct w:val="0"/>
        <w:autoSpaceDE/>
        <w:autoSpaceDN/>
        <w:bidi w:val="0"/>
        <w:adjustRightInd/>
        <w:snapToGrid/>
        <w:spacing w:line="48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每次划分后，将窗口向前滚动roll_freq个月，重复上述划分过程，直到测试集的结束日期超出数据范围。</w:t>
      </w:r>
    </w:p>
    <w:p w14:paraId="6361A95F">
      <w:pPr>
        <w:keepNext w:val="0"/>
        <w:keepLines w:val="0"/>
        <w:pageBreakBefore w:val="0"/>
        <w:widowControl w:val="0"/>
        <w:numPr>
          <w:ilvl w:val="0"/>
          <w:numId w:val="4"/>
        </w:numPr>
        <w:kinsoku/>
        <w:wordWrap/>
        <w:overflowPunct/>
        <w:topLinePunct w:val="0"/>
        <w:autoSpaceDE/>
        <w:autoSpaceDN/>
        <w:bidi w:val="0"/>
        <w:adjustRightInd/>
        <w:snapToGrid/>
        <w:spacing w:line="480" w:lineRule="auto"/>
        <w:ind w:left="-420" w:leftChars="0" w:firstLine="420" w:firstLineChars="0"/>
        <w:textAlignment w:val="auto"/>
        <w:outlineLvl w:val="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回测</w:t>
      </w:r>
    </w:p>
    <w:tbl>
      <w:tblPr>
        <w:tblStyle w:val="1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7"/>
        <w:gridCol w:w="1449"/>
        <w:gridCol w:w="1239"/>
        <w:gridCol w:w="1239"/>
        <w:gridCol w:w="1239"/>
        <w:gridCol w:w="1239"/>
      </w:tblGrid>
      <w:tr w14:paraId="50242577">
        <w:tc>
          <w:tcPr>
            <w:tcW w:w="1535" w:type="pct"/>
            <w:tcBorders>
              <w:top w:val="single" w:color="auto" w:sz="12" w:space="0"/>
              <w:bottom w:val="single" w:color="auto" w:sz="6" w:space="0"/>
            </w:tcBorders>
          </w:tcPr>
          <w:p w14:paraId="19FCDFA3">
            <w:pPr>
              <w:spacing w:line="480" w:lineRule="auto"/>
              <w:ind w:firstLine="0" w:firstLineChars="0"/>
              <w:rPr>
                <w:rFonts w:hint="eastAsia"/>
                <w:sz w:val="21"/>
                <w:szCs w:val="21"/>
              </w:rPr>
            </w:pPr>
          </w:p>
        </w:tc>
        <w:tc>
          <w:tcPr>
            <w:tcW w:w="784" w:type="pct"/>
            <w:tcBorders>
              <w:top w:val="single" w:color="auto" w:sz="12" w:space="0"/>
              <w:bottom w:val="single" w:color="auto" w:sz="6" w:space="0"/>
            </w:tcBorders>
          </w:tcPr>
          <w:p w14:paraId="151C2BF0">
            <w:pPr>
              <w:spacing w:line="480" w:lineRule="auto"/>
              <w:ind w:firstLine="0" w:firstLineChars="0"/>
              <w:jc w:val="center"/>
              <w:rPr>
                <w:rFonts w:hint="eastAsia"/>
                <w:sz w:val="21"/>
                <w:szCs w:val="21"/>
              </w:rPr>
            </w:pPr>
            <w:r>
              <w:rPr>
                <w:rFonts w:hint="eastAsia"/>
                <w:sz w:val="21"/>
                <w:szCs w:val="21"/>
              </w:rPr>
              <w:t>年化收益率</w:t>
            </w:r>
          </w:p>
        </w:tc>
        <w:tc>
          <w:tcPr>
            <w:tcW w:w="670" w:type="pct"/>
            <w:tcBorders>
              <w:top w:val="single" w:color="auto" w:sz="12" w:space="0"/>
              <w:bottom w:val="single" w:color="auto" w:sz="6" w:space="0"/>
            </w:tcBorders>
          </w:tcPr>
          <w:p w14:paraId="74CE40BE">
            <w:pPr>
              <w:spacing w:line="480" w:lineRule="auto"/>
              <w:ind w:firstLine="0" w:firstLineChars="0"/>
              <w:jc w:val="center"/>
              <w:rPr>
                <w:rFonts w:hint="eastAsia"/>
                <w:sz w:val="21"/>
                <w:szCs w:val="21"/>
              </w:rPr>
            </w:pPr>
            <w:r>
              <w:rPr>
                <w:rFonts w:hint="eastAsia"/>
                <w:sz w:val="21"/>
                <w:szCs w:val="21"/>
              </w:rPr>
              <w:t>夏普比率</w:t>
            </w:r>
          </w:p>
        </w:tc>
        <w:tc>
          <w:tcPr>
            <w:tcW w:w="670" w:type="pct"/>
            <w:tcBorders>
              <w:top w:val="single" w:color="auto" w:sz="12" w:space="0"/>
              <w:bottom w:val="single" w:color="auto" w:sz="6" w:space="0"/>
            </w:tcBorders>
          </w:tcPr>
          <w:p w14:paraId="2796BFD2">
            <w:pPr>
              <w:spacing w:line="480" w:lineRule="auto"/>
              <w:ind w:firstLine="0" w:firstLineChars="0"/>
              <w:jc w:val="center"/>
              <w:rPr>
                <w:rFonts w:hint="eastAsia"/>
                <w:sz w:val="21"/>
                <w:szCs w:val="21"/>
              </w:rPr>
            </w:pPr>
            <w:r>
              <w:rPr>
                <w:rFonts w:hint="eastAsia"/>
                <w:sz w:val="21"/>
                <w:szCs w:val="21"/>
              </w:rPr>
              <w:t>最大回撤</w:t>
            </w:r>
          </w:p>
        </w:tc>
        <w:tc>
          <w:tcPr>
            <w:tcW w:w="670" w:type="pct"/>
            <w:tcBorders>
              <w:top w:val="single" w:color="auto" w:sz="12" w:space="0"/>
              <w:bottom w:val="single" w:color="auto" w:sz="6" w:space="0"/>
            </w:tcBorders>
          </w:tcPr>
          <w:p w14:paraId="5D49AC6F">
            <w:pPr>
              <w:spacing w:line="480" w:lineRule="auto"/>
              <w:ind w:firstLine="0" w:firstLineChars="0"/>
              <w:jc w:val="center"/>
              <w:rPr>
                <w:rFonts w:hint="eastAsia"/>
                <w:sz w:val="21"/>
                <w:szCs w:val="21"/>
              </w:rPr>
            </w:pPr>
            <w:r>
              <w:rPr>
                <w:rFonts w:hint="eastAsia"/>
                <w:sz w:val="21"/>
                <w:szCs w:val="21"/>
              </w:rPr>
              <w:t>交易次数</w:t>
            </w:r>
          </w:p>
        </w:tc>
        <w:tc>
          <w:tcPr>
            <w:tcW w:w="670" w:type="pct"/>
            <w:tcBorders>
              <w:top w:val="single" w:color="auto" w:sz="12" w:space="0"/>
              <w:bottom w:val="single" w:color="auto" w:sz="6" w:space="0"/>
            </w:tcBorders>
          </w:tcPr>
          <w:p w14:paraId="6E6913A9">
            <w:pPr>
              <w:spacing w:line="480" w:lineRule="auto"/>
              <w:ind w:firstLine="0" w:firstLineChars="0"/>
              <w:jc w:val="center"/>
              <w:rPr>
                <w:rFonts w:hint="eastAsia"/>
                <w:sz w:val="21"/>
                <w:szCs w:val="21"/>
              </w:rPr>
            </w:pPr>
            <w:r>
              <w:rPr>
                <w:rFonts w:hint="eastAsia"/>
                <w:sz w:val="21"/>
                <w:szCs w:val="21"/>
              </w:rPr>
              <w:t>IC</w:t>
            </w:r>
          </w:p>
        </w:tc>
      </w:tr>
      <w:tr w14:paraId="10DB4A95">
        <w:tc>
          <w:tcPr>
            <w:tcW w:w="1535" w:type="pct"/>
            <w:tcBorders>
              <w:top w:val="single" w:color="auto" w:sz="6" w:space="0"/>
            </w:tcBorders>
          </w:tcPr>
          <w:p w14:paraId="15BE35CD">
            <w:pPr>
              <w:spacing w:line="480" w:lineRule="auto"/>
              <w:ind w:firstLine="0" w:firstLineChars="0"/>
              <w:rPr>
                <w:rFonts w:hint="eastAsia"/>
                <w:sz w:val="21"/>
                <w:szCs w:val="21"/>
              </w:rPr>
            </w:pPr>
            <w:r>
              <w:rPr>
                <w:sz w:val="21"/>
                <w:szCs w:val="21"/>
              </w:rPr>
              <w:t>preds_XGB</w:t>
            </w:r>
          </w:p>
        </w:tc>
        <w:tc>
          <w:tcPr>
            <w:tcW w:w="784" w:type="pct"/>
            <w:tcBorders>
              <w:top w:val="single" w:color="auto" w:sz="6" w:space="0"/>
            </w:tcBorders>
          </w:tcPr>
          <w:p w14:paraId="3D22BEB5">
            <w:pPr>
              <w:spacing w:line="480" w:lineRule="auto"/>
              <w:ind w:firstLine="0" w:firstLineChars="0"/>
              <w:jc w:val="center"/>
              <w:rPr>
                <w:rFonts w:hint="eastAsia"/>
                <w:sz w:val="21"/>
                <w:szCs w:val="21"/>
              </w:rPr>
            </w:pPr>
            <w:r>
              <w:rPr>
                <w:sz w:val="21"/>
                <w:szCs w:val="21"/>
              </w:rPr>
              <w:t>0.1941</w:t>
            </w:r>
          </w:p>
        </w:tc>
        <w:tc>
          <w:tcPr>
            <w:tcW w:w="670" w:type="pct"/>
            <w:tcBorders>
              <w:top w:val="single" w:color="auto" w:sz="6" w:space="0"/>
            </w:tcBorders>
          </w:tcPr>
          <w:p w14:paraId="78FAF94C">
            <w:pPr>
              <w:spacing w:line="480" w:lineRule="auto"/>
              <w:ind w:firstLine="0" w:firstLineChars="0"/>
              <w:jc w:val="center"/>
              <w:rPr>
                <w:rFonts w:hint="eastAsia"/>
                <w:sz w:val="21"/>
                <w:szCs w:val="21"/>
              </w:rPr>
            </w:pPr>
            <w:r>
              <w:rPr>
                <w:sz w:val="21"/>
                <w:szCs w:val="21"/>
              </w:rPr>
              <w:t>0.7842</w:t>
            </w:r>
          </w:p>
        </w:tc>
        <w:tc>
          <w:tcPr>
            <w:tcW w:w="670" w:type="pct"/>
            <w:tcBorders>
              <w:top w:val="single" w:color="auto" w:sz="6" w:space="0"/>
            </w:tcBorders>
          </w:tcPr>
          <w:p w14:paraId="4F3AC6C1">
            <w:pPr>
              <w:spacing w:line="480" w:lineRule="auto"/>
              <w:ind w:firstLine="0" w:firstLineChars="0"/>
              <w:jc w:val="center"/>
              <w:rPr>
                <w:rFonts w:hint="eastAsia"/>
                <w:sz w:val="21"/>
                <w:szCs w:val="21"/>
              </w:rPr>
            </w:pPr>
            <w:r>
              <w:rPr>
                <w:sz w:val="21"/>
                <w:szCs w:val="21"/>
              </w:rPr>
              <w:t>0.4330</w:t>
            </w:r>
          </w:p>
        </w:tc>
        <w:tc>
          <w:tcPr>
            <w:tcW w:w="670" w:type="pct"/>
            <w:tcBorders>
              <w:top w:val="single" w:color="auto" w:sz="6" w:space="0"/>
            </w:tcBorders>
          </w:tcPr>
          <w:p w14:paraId="1CE7B48E">
            <w:pPr>
              <w:spacing w:line="480" w:lineRule="auto"/>
              <w:ind w:firstLine="0" w:firstLineChars="0"/>
              <w:jc w:val="center"/>
              <w:rPr>
                <w:rFonts w:hint="eastAsia"/>
                <w:sz w:val="21"/>
                <w:szCs w:val="21"/>
              </w:rPr>
            </w:pPr>
            <w:r>
              <w:rPr>
                <w:sz w:val="21"/>
                <w:szCs w:val="21"/>
              </w:rPr>
              <w:t>186955</w:t>
            </w:r>
          </w:p>
        </w:tc>
        <w:tc>
          <w:tcPr>
            <w:tcW w:w="670" w:type="pct"/>
            <w:tcBorders>
              <w:top w:val="single" w:color="auto" w:sz="6" w:space="0"/>
            </w:tcBorders>
          </w:tcPr>
          <w:p w14:paraId="00066848">
            <w:pPr>
              <w:spacing w:line="480" w:lineRule="auto"/>
              <w:ind w:firstLine="0" w:firstLineChars="0"/>
              <w:jc w:val="center"/>
              <w:rPr>
                <w:rFonts w:hint="eastAsia"/>
                <w:sz w:val="21"/>
                <w:szCs w:val="21"/>
              </w:rPr>
            </w:pPr>
            <w:r>
              <w:rPr>
                <w:sz w:val="21"/>
                <w:szCs w:val="21"/>
              </w:rPr>
              <w:t>0.0991</w:t>
            </w:r>
          </w:p>
        </w:tc>
      </w:tr>
      <w:tr w14:paraId="74AEABD2">
        <w:tc>
          <w:tcPr>
            <w:tcW w:w="1535" w:type="pct"/>
          </w:tcPr>
          <w:p w14:paraId="47C8E0FD">
            <w:pPr>
              <w:spacing w:line="480" w:lineRule="auto"/>
              <w:ind w:firstLine="0" w:firstLineChars="0"/>
              <w:rPr>
                <w:rFonts w:hint="eastAsia"/>
                <w:sz w:val="21"/>
                <w:szCs w:val="21"/>
              </w:rPr>
            </w:pPr>
            <w:r>
              <w:rPr>
                <w:sz w:val="21"/>
                <w:szCs w:val="21"/>
              </w:rPr>
              <w:t>preds_LGBM</w:t>
            </w:r>
          </w:p>
        </w:tc>
        <w:tc>
          <w:tcPr>
            <w:tcW w:w="784" w:type="pct"/>
          </w:tcPr>
          <w:p w14:paraId="006C2D83">
            <w:pPr>
              <w:spacing w:line="480" w:lineRule="auto"/>
              <w:ind w:firstLine="0" w:firstLineChars="0"/>
              <w:jc w:val="center"/>
              <w:rPr>
                <w:rFonts w:hint="eastAsia"/>
                <w:sz w:val="21"/>
                <w:szCs w:val="21"/>
              </w:rPr>
            </w:pPr>
            <w:r>
              <w:rPr>
                <w:sz w:val="21"/>
                <w:szCs w:val="21"/>
              </w:rPr>
              <w:t>0.1882</w:t>
            </w:r>
          </w:p>
        </w:tc>
        <w:tc>
          <w:tcPr>
            <w:tcW w:w="670" w:type="pct"/>
          </w:tcPr>
          <w:p w14:paraId="511AB58F">
            <w:pPr>
              <w:spacing w:line="480" w:lineRule="auto"/>
              <w:ind w:firstLine="0" w:firstLineChars="0"/>
              <w:jc w:val="center"/>
              <w:rPr>
                <w:rFonts w:hint="eastAsia"/>
                <w:sz w:val="21"/>
                <w:szCs w:val="21"/>
              </w:rPr>
            </w:pPr>
            <w:r>
              <w:rPr>
                <w:sz w:val="21"/>
                <w:szCs w:val="21"/>
              </w:rPr>
              <w:t>0.7783</w:t>
            </w:r>
          </w:p>
        </w:tc>
        <w:tc>
          <w:tcPr>
            <w:tcW w:w="670" w:type="pct"/>
          </w:tcPr>
          <w:p w14:paraId="08B406EB">
            <w:pPr>
              <w:spacing w:line="480" w:lineRule="auto"/>
              <w:ind w:firstLine="0" w:firstLineChars="0"/>
              <w:jc w:val="center"/>
              <w:rPr>
                <w:rFonts w:hint="eastAsia"/>
                <w:sz w:val="21"/>
                <w:szCs w:val="21"/>
              </w:rPr>
            </w:pPr>
            <w:r>
              <w:rPr>
                <w:sz w:val="21"/>
                <w:szCs w:val="21"/>
              </w:rPr>
              <w:t>0.4241</w:t>
            </w:r>
          </w:p>
        </w:tc>
        <w:tc>
          <w:tcPr>
            <w:tcW w:w="670" w:type="pct"/>
          </w:tcPr>
          <w:p w14:paraId="7D7A2DC0">
            <w:pPr>
              <w:spacing w:line="480" w:lineRule="auto"/>
              <w:ind w:firstLine="0" w:firstLineChars="0"/>
              <w:jc w:val="center"/>
              <w:rPr>
                <w:rFonts w:hint="eastAsia"/>
                <w:sz w:val="21"/>
                <w:szCs w:val="21"/>
              </w:rPr>
            </w:pPr>
            <w:r>
              <w:rPr>
                <w:sz w:val="21"/>
                <w:szCs w:val="21"/>
              </w:rPr>
              <w:t>195860</w:t>
            </w:r>
          </w:p>
        </w:tc>
        <w:tc>
          <w:tcPr>
            <w:tcW w:w="670" w:type="pct"/>
          </w:tcPr>
          <w:p w14:paraId="533A0A6C">
            <w:pPr>
              <w:spacing w:line="480" w:lineRule="auto"/>
              <w:ind w:firstLine="0" w:firstLineChars="0"/>
              <w:jc w:val="center"/>
              <w:rPr>
                <w:rFonts w:hint="eastAsia"/>
                <w:sz w:val="21"/>
                <w:szCs w:val="21"/>
              </w:rPr>
            </w:pPr>
            <w:r>
              <w:rPr>
                <w:sz w:val="21"/>
                <w:szCs w:val="21"/>
              </w:rPr>
              <w:t>0.0967</w:t>
            </w:r>
          </w:p>
        </w:tc>
      </w:tr>
      <w:tr w14:paraId="5CCCAB90">
        <w:tc>
          <w:tcPr>
            <w:tcW w:w="1535" w:type="pct"/>
          </w:tcPr>
          <w:p w14:paraId="6C028847">
            <w:pPr>
              <w:spacing w:line="480" w:lineRule="auto"/>
              <w:ind w:firstLine="0" w:firstLineChars="0"/>
              <w:rPr>
                <w:rFonts w:hint="eastAsia"/>
                <w:sz w:val="21"/>
                <w:szCs w:val="21"/>
              </w:rPr>
            </w:pPr>
            <w:r>
              <w:rPr>
                <w:sz w:val="21"/>
                <w:szCs w:val="21"/>
              </w:rPr>
              <w:t>monthly_preds_GLM</w:t>
            </w:r>
          </w:p>
        </w:tc>
        <w:tc>
          <w:tcPr>
            <w:tcW w:w="784" w:type="pct"/>
          </w:tcPr>
          <w:p w14:paraId="383308B3">
            <w:pPr>
              <w:spacing w:line="480" w:lineRule="auto"/>
              <w:ind w:firstLine="0" w:firstLineChars="0"/>
              <w:jc w:val="center"/>
              <w:rPr>
                <w:rFonts w:hint="eastAsia"/>
                <w:sz w:val="21"/>
                <w:szCs w:val="21"/>
              </w:rPr>
            </w:pPr>
            <w:r>
              <w:rPr>
                <w:sz w:val="21"/>
                <w:szCs w:val="21"/>
              </w:rPr>
              <w:t>0.1877</w:t>
            </w:r>
          </w:p>
        </w:tc>
        <w:tc>
          <w:tcPr>
            <w:tcW w:w="670" w:type="pct"/>
          </w:tcPr>
          <w:p w14:paraId="18E18D14">
            <w:pPr>
              <w:spacing w:line="480" w:lineRule="auto"/>
              <w:ind w:firstLine="0" w:firstLineChars="0"/>
              <w:jc w:val="center"/>
              <w:rPr>
                <w:rFonts w:hint="eastAsia"/>
                <w:sz w:val="21"/>
                <w:szCs w:val="21"/>
              </w:rPr>
            </w:pPr>
            <w:r>
              <w:rPr>
                <w:sz w:val="21"/>
                <w:szCs w:val="21"/>
              </w:rPr>
              <w:t>0.</w:t>
            </w:r>
            <w:r>
              <w:rPr>
                <w:rFonts w:hint="default"/>
                <w:sz w:val="21"/>
                <w:szCs w:val="21"/>
                <w:lang w:val="en-US"/>
              </w:rPr>
              <w:t>7</w:t>
            </w:r>
            <w:r>
              <w:rPr>
                <w:sz w:val="21"/>
                <w:szCs w:val="21"/>
              </w:rPr>
              <w:t>405</w:t>
            </w:r>
          </w:p>
        </w:tc>
        <w:tc>
          <w:tcPr>
            <w:tcW w:w="670" w:type="pct"/>
          </w:tcPr>
          <w:p w14:paraId="1FEDE7C6">
            <w:pPr>
              <w:spacing w:line="480" w:lineRule="auto"/>
              <w:ind w:firstLine="0" w:firstLineChars="0"/>
              <w:jc w:val="center"/>
              <w:rPr>
                <w:rFonts w:hint="eastAsia"/>
                <w:sz w:val="21"/>
                <w:szCs w:val="21"/>
              </w:rPr>
            </w:pPr>
            <w:r>
              <w:rPr>
                <w:sz w:val="21"/>
                <w:szCs w:val="21"/>
              </w:rPr>
              <w:t>0.2910</w:t>
            </w:r>
          </w:p>
        </w:tc>
        <w:tc>
          <w:tcPr>
            <w:tcW w:w="670" w:type="pct"/>
          </w:tcPr>
          <w:p w14:paraId="04E1508E">
            <w:pPr>
              <w:spacing w:line="480" w:lineRule="auto"/>
              <w:ind w:firstLine="0" w:firstLineChars="0"/>
              <w:jc w:val="center"/>
              <w:rPr>
                <w:rFonts w:hint="eastAsia"/>
                <w:sz w:val="21"/>
                <w:szCs w:val="21"/>
              </w:rPr>
            </w:pPr>
            <w:r>
              <w:rPr>
                <w:sz w:val="21"/>
                <w:szCs w:val="21"/>
              </w:rPr>
              <w:t>21377</w:t>
            </w:r>
          </w:p>
        </w:tc>
        <w:tc>
          <w:tcPr>
            <w:tcW w:w="670" w:type="pct"/>
          </w:tcPr>
          <w:p w14:paraId="52DBFED9">
            <w:pPr>
              <w:spacing w:line="480" w:lineRule="auto"/>
              <w:ind w:firstLine="0" w:firstLineChars="0"/>
              <w:jc w:val="center"/>
              <w:rPr>
                <w:rFonts w:hint="eastAsia"/>
                <w:sz w:val="21"/>
                <w:szCs w:val="21"/>
              </w:rPr>
            </w:pPr>
            <w:r>
              <w:rPr>
                <w:sz w:val="21"/>
                <w:szCs w:val="21"/>
              </w:rPr>
              <w:t>0.0488</w:t>
            </w:r>
          </w:p>
        </w:tc>
      </w:tr>
      <w:tr w14:paraId="7B3F4094">
        <w:tc>
          <w:tcPr>
            <w:tcW w:w="1535" w:type="pct"/>
          </w:tcPr>
          <w:p w14:paraId="32DEA042">
            <w:pPr>
              <w:spacing w:line="480" w:lineRule="auto"/>
              <w:ind w:firstLine="0" w:firstLineChars="0"/>
              <w:rPr>
                <w:rFonts w:hint="eastAsia"/>
                <w:sz w:val="21"/>
                <w:szCs w:val="21"/>
              </w:rPr>
            </w:pPr>
            <w:r>
              <w:rPr>
                <w:sz w:val="21"/>
                <w:szCs w:val="21"/>
              </w:rPr>
              <w:t>monthly_preds_XGB</w:t>
            </w:r>
          </w:p>
        </w:tc>
        <w:tc>
          <w:tcPr>
            <w:tcW w:w="784" w:type="pct"/>
          </w:tcPr>
          <w:p w14:paraId="21B6E1DD">
            <w:pPr>
              <w:spacing w:line="480" w:lineRule="auto"/>
              <w:ind w:firstLine="0" w:firstLineChars="0"/>
              <w:jc w:val="center"/>
              <w:rPr>
                <w:rFonts w:hint="eastAsia"/>
                <w:sz w:val="21"/>
                <w:szCs w:val="21"/>
              </w:rPr>
            </w:pPr>
            <w:r>
              <w:rPr>
                <w:sz w:val="21"/>
                <w:szCs w:val="21"/>
              </w:rPr>
              <w:t>0.1831</w:t>
            </w:r>
          </w:p>
        </w:tc>
        <w:tc>
          <w:tcPr>
            <w:tcW w:w="670" w:type="pct"/>
          </w:tcPr>
          <w:p w14:paraId="0003A59E">
            <w:pPr>
              <w:spacing w:line="480" w:lineRule="auto"/>
              <w:ind w:firstLine="0" w:firstLineChars="0"/>
              <w:jc w:val="center"/>
              <w:rPr>
                <w:rFonts w:hint="eastAsia"/>
                <w:sz w:val="21"/>
                <w:szCs w:val="21"/>
              </w:rPr>
            </w:pPr>
            <w:r>
              <w:rPr>
                <w:sz w:val="21"/>
                <w:szCs w:val="21"/>
              </w:rPr>
              <w:t>0.</w:t>
            </w:r>
            <w:r>
              <w:rPr>
                <w:rFonts w:hint="default"/>
                <w:sz w:val="21"/>
                <w:szCs w:val="21"/>
                <w:lang w:val="en-US"/>
              </w:rPr>
              <w:t>7</w:t>
            </w:r>
            <w:r>
              <w:rPr>
                <w:sz w:val="21"/>
                <w:szCs w:val="21"/>
              </w:rPr>
              <w:t>510</w:t>
            </w:r>
          </w:p>
        </w:tc>
        <w:tc>
          <w:tcPr>
            <w:tcW w:w="670" w:type="pct"/>
          </w:tcPr>
          <w:p w14:paraId="26F55912">
            <w:pPr>
              <w:spacing w:line="480" w:lineRule="auto"/>
              <w:ind w:firstLine="0" w:firstLineChars="0"/>
              <w:jc w:val="center"/>
              <w:rPr>
                <w:rFonts w:hint="eastAsia"/>
                <w:sz w:val="21"/>
                <w:szCs w:val="21"/>
              </w:rPr>
            </w:pPr>
            <w:r>
              <w:rPr>
                <w:sz w:val="21"/>
                <w:szCs w:val="21"/>
              </w:rPr>
              <w:t>0.2380</w:t>
            </w:r>
          </w:p>
        </w:tc>
        <w:tc>
          <w:tcPr>
            <w:tcW w:w="670" w:type="pct"/>
          </w:tcPr>
          <w:p w14:paraId="2D66C3A2">
            <w:pPr>
              <w:spacing w:line="480" w:lineRule="auto"/>
              <w:ind w:firstLine="0" w:firstLineChars="0"/>
              <w:jc w:val="center"/>
              <w:rPr>
                <w:rFonts w:hint="eastAsia"/>
                <w:sz w:val="21"/>
                <w:szCs w:val="21"/>
              </w:rPr>
            </w:pPr>
            <w:r>
              <w:rPr>
                <w:sz w:val="21"/>
                <w:szCs w:val="21"/>
              </w:rPr>
              <w:t>21957</w:t>
            </w:r>
          </w:p>
        </w:tc>
        <w:tc>
          <w:tcPr>
            <w:tcW w:w="670" w:type="pct"/>
          </w:tcPr>
          <w:p w14:paraId="5A6BF913">
            <w:pPr>
              <w:spacing w:line="480" w:lineRule="auto"/>
              <w:ind w:firstLine="0" w:firstLineChars="0"/>
              <w:jc w:val="center"/>
              <w:rPr>
                <w:rFonts w:hint="eastAsia"/>
                <w:sz w:val="21"/>
                <w:szCs w:val="21"/>
              </w:rPr>
            </w:pPr>
            <w:r>
              <w:rPr>
                <w:sz w:val="21"/>
                <w:szCs w:val="21"/>
              </w:rPr>
              <w:t>0.0726</w:t>
            </w:r>
          </w:p>
        </w:tc>
      </w:tr>
      <w:tr w14:paraId="5EFF47F8">
        <w:tc>
          <w:tcPr>
            <w:tcW w:w="1535" w:type="pct"/>
          </w:tcPr>
          <w:p w14:paraId="449D5ADC">
            <w:pPr>
              <w:spacing w:line="480" w:lineRule="auto"/>
              <w:ind w:firstLine="0" w:firstLineChars="0"/>
              <w:rPr>
                <w:rFonts w:hint="eastAsia"/>
                <w:sz w:val="21"/>
                <w:szCs w:val="21"/>
              </w:rPr>
            </w:pPr>
            <w:r>
              <w:rPr>
                <w:sz w:val="21"/>
                <w:szCs w:val="21"/>
              </w:rPr>
              <w:t>monthly_preds_Transformer</w:t>
            </w:r>
          </w:p>
        </w:tc>
        <w:tc>
          <w:tcPr>
            <w:tcW w:w="784" w:type="pct"/>
          </w:tcPr>
          <w:p w14:paraId="63B395BE">
            <w:pPr>
              <w:spacing w:line="480" w:lineRule="auto"/>
              <w:ind w:firstLine="0" w:firstLineChars="0"/>
              <w:jc w:val="center"/>
              <w:rPr>
                <w:rFonts w:hint="eastAsia"/>
                <w:sz w:val="21"/>
                <w:szCs w:val="21"/>
              </w:rPr>
            </w:pPr>
            <w:r>
              <w:rPr>
                <w:sz w:val="21"/>
                <w:szCs w:val="21"/>
              </w:rPr>
              <w:t>0.1793</w:t>
            </w:r>
          </w:p>
        </w:tc>
        <w:tc>
          <w:tcPr>
            <w:tcW w:w="670" w:type="pct"/>
          </w:tcPr>
          <w:p w14:paraId="7B848278">
            <w:pPr>
              <w:spacing w:line="480" w:lineRule="auto"/>
              <w:ind w:firstLine="0" w:firstLineChars="0"/>
              <w:jc w:val="center"/>
              <w:rPr>
                <w:rFonts w:hint="eastAsia"/>
                <w:sz w:val="21"/>
                <w:szCs w:val="21"/>
              </w:rPr>
            </w:pPr>
            <w:r>
              <w:rPr>
                <w:rFonts w:hint="default"/>
                <w:sz w:val="21"/>
                <w:szCs w:val="21"/>
                <w:lang w:val="en-US"/>
              </w:rPr>
              <w:t>0</w:t>
            </w:r>
            <w:r>
              <w:rPr>
                <w:sz w:val="21"/>
                <w:szCs w:val="21"/>
              </w:rPr>
              <w:t>.</w:t>
            </w:r>
            <w:r>
              <w:rPr>
                <w:rFonts w:hint="default"/>
                <w:sz w:val="21"/>
                <w:szCs w:val="21"/>
                <w:lang w:val="en-US"/>
              </w:rPr>
              <w:t>73</w:t>
            </w:r>
            <w:r>
              <w:rPr>
                <w:sz w:val="21"/>
                <w:szCs w:val="21"/>
              </w:rPr>
              <w:t>07</w:t>
            </w:r>
          </w:p>
        </w:tc>
        <w:tc>
          <w:tcPr>
            <w:tcW w:w="670" w:type="pct"/>
          </w:tcPr>
          <w:p w14:paraId="258E3DBE">
            <w:pPr>
              <w:spacing w:line="480" w:lineRule="auto"/>
              <w:ind w:firstLine="0" w:firstLineChars="0"/>
              <w:jc w:val="center"/>
              <w:rPr>
                <w:rFonts w:hint="eastAsia"/>
                <w:sz w:val="21"/>
                <w:szCs w:val="21"/>
              </w:rPr>
            </w:pPr>
            <w:r>
              <w:rPr>
                <w:sz w:val="21"/>
                <w:szCs w:val="21"/>
              </w:rPr>
              <w:t>0.2574</w:t>
            </w:r>
          </w:p>
        </w:tc>
        <w:tc>
          <w:tcPr>
            <w:tcW w:w="670" w:type="pct"/>
          </w:tcPr>
          <w:p w14:paraId="5CE35725">
            <w:pPr>
              <w:spacing w:line="480" w:lineRule="auto"/>
              <w:ind w:firstLine="0" w:firstLineChars="0"/>
              <w:jc w:val="center"/>
              <w:rPr>
                <w:rFonts w:hint="eastAsia"/>
                <w:sz w:val="21"/>
                <w:szCs w:val="21"/>
              </w:rPr>
            </w:pPr>
            <w:r>
              <w:rPr>
                <w:sz w:val="21"/>
                <w:szCs w:val="21"/>
              </w:rPr>
              <w:t>19679</w:t>
            </w:r>
          </w:p>
        </w:tc>
        <w:tc>
          <w:tcPr>
            <w:tcW w:w="670" w:type="pct"/>
          </w:tcPr>
          <w:p w14:paraId="18931E54">
            <w:pPr>
              <w:spacing w:line="480" w:lineRule="auto"/>
              <w:ind w:firstLine="0" w:firstLineChars="0"/>
              <w:jc w:val="center"/>
              <w:rPr>
                <w:rFonts w:hint="eastAsia"/>
                <w:sz w:val="21"/>
                <w:szCs w:val="21"/>
              </w:rPr>
            </w:pPr>
            <w:r>
              <w:rPr>
                <w:sz w:val="21"/>
                <w:szCs w:val="21"/>
              </w:rPr>
              <w:t>0.0591</w:t>
            </w:r>
          </w:p>
        </w:tc>
      </w:tr>
      <w:tr w14:paraId="5D1CE4D4">
        <w:tc>
          <w:tcPr>
            <w:tcW w:w="1535" w:type="pct"/>
          </w:tcPr>
          <w:p w14:paraId="0278CB91">
            <w:pPr>
              <w:spacing w:line="480" w:lineRule="auto"/>
              <w:ind w:firstLine="0" w:firstLineChars="0"/>
              <w:rPr>
                <w:rFonts w:hint="eastAsia"/>
                <w:sz w:val="21"/>
                <w:szCs w:val="21"/>
              </w:rPr>
            </w:pPr>
            <w:r>
              <w:rPr>
                <w:sz w:val="21"/>
                <w:szCs w:val="21"/>
              </w:rPr>
              <w:t>monthly_preds_ENET</w:t>
            </w:r>
          </w:p>
        </w:tc>
        <w:tc>
          <w:tcPr>
            <w:tcW w:w="784" w:type="pct"/>
          </w:tcPr>
          <w:p w14:paraId="6F261E50">
            <w:pPr>
              <w:spacing w:line="480" w:lineRule="auto"/>
              <w:ind w:firstLine="0" w:firstLineChars="0"/>
              <w:jc w:val="center"/>
              <w:rPr>
                <w:rFonts w:hint="eastAsia"/>
                <w:sz w:val="21"/>
                <w:szCs w:val="21"/>
              </w:rPr>
            </w:pPr>
            <w:r>
              <w:rPr>
                <w:sz w:val="21"/>
                <w:szCs w:val="21"/>
              </w:rPr>
              <w:t>0.1778</w:t>
            </w:r>
          </w:p>
        </w:tc>
        <w:tc>
          <w:tcPr>
            <w:tcW w:w="670" w:type="pct"/>
          </w:tcPr>
          <w:p w14:paraId="2465DC73">
            <w:pPr>
              <w:spacing w:line="480" w:lineRule="auto"/>
              <w:ind w:firstLine="0" w:firstLineChars="0"/>
              <w:jc w:val="center"/>
              <w:rPr>
                <w:rFonts w:hint="eastAsia"/>
                <w:sz w:val="21"/>
                <w:szCs w:val="21"/>
              </w:rPr>
            </w:pPr>
            <w:r>
              <w:rPr>
                <w:rFonts w:hint="default"/>
                <w:sz w:val="21"/>
                <w:szCs w:val="21"/>
                <w:lang w:val="en-US"/>
              </w:rPr>
              <w:t>0</w:t>
            </w:r>
            <w:r>
              <w:rPr>
                <w:sz w:val="21"/>
                <w:szCs w:val="21"/>
              </w:rPr>
              <w:t>.</w:t>
            </w:r>
            <w:r>
              <w:rPr>
                <w:rFonts w:hint="default"/>
                <w:sz w:val="21"/>
                <w:szCs w:val="21"/>
                <w:lang w:val="en-US"/>
              </w:rPr>
              <w:t>7</w:t>
            </w:r>
            <w:r>
              <w:rPr>
                <w:sz w:val="21"/>
                <w:szCs w:val="21"/>
              </w:rPr>
              <w:t>296</w:t>
            </w:r>
          </w:p>
        </w:tc>
        <w:tc>
          <w:tcPr>
            <w:tcW w:w="670" w:type="pct"/>
          </w:tcPr>
          <w:p w14:paraId="72C6FC38">
            <w:pPr>
              <w:spacing w:line="480" w:lineRule="auto"/>
              <w:ind w:firstLine="0" w:firstLineChars="0"/>
              <w:jc w:val="center"/>
              <w:rPr>
                <w:rFonts w:hint="eastAsia"/>
                <w:sz w:val="21"/>
                <w:szCs w:val="21"/>
              </w:rPr>
            </w:pPr>
            <w:r>
              <w:rPr>
                <w:sz w:val="21"/>
                <w:szCs w:val="21"/>
              </w:rPr>
              <w:t>0.2520</w:t>
            </w:r>
          </w:p>
        </w:tc>
        <w:tc>
          <w:tcPr>
            <w:tcW w:w="670" w:type="pct"/>
          </w:tcPr>
          <w:p w14:paraId="56C6E561">
            <w:pPr>
              <w:spacing w:line="480" w:lineRule="auto"/>
              <w:ind w:firstLine="0" w:firstLineChars="0"/>
              <w:jc w:val="center"/>
              <w:rPr>
                <w:rFonts w:hint="eastAsia"/>
                <w:sz w:val="21"/>
                <w:szCs w:val="21"/>
              </w:rPr>
            </w:pPr>
            <w:r>
              <w:rPr>
                <w:sz w:val="21"/>
                <w:szCs w:val="21"/>
              </w:rPr>
              <w:t>16018</w:t>
            </w:r>
          </w:p>
        </w:tc>
        <w:tc>
          <w:tcPr>
            <w:tcW w:w="670" w:type="pct"/>
          </w:tcPr>
          <w:p w14:paraId="275AAFF4">
            <w:pPr>
              <w:spacing w:line="480" w:lineRule="auto"/>
              <w:ind w:firstLine="0" w:firstLineChars="0"/>
              <w:jc w:val="center"/>
              <w:rPr>
                <w:rFonts w:hint="eastAsia"/>
                <w:sz w:val="21"/>
                <w:szCs w:val="21"/>
              </w:rPr>
            </w:pPr>
            <w:r>
              <w:rPr>
                <w:sz w:val="21"/>
                <w:szCs w:val="21"/>
              </w:rPr>
              <w:t>0.0359</w:t>
            </w:r>
          </w:p>
        </w:tc>
      </w:tr>
      <w:tr w14:paraId="68E4B1CB">
        <w:tc>
          <w:tcPr>
            <w:tcW w:w="1535" w:type="pct"/>
          </w:tcPr>
          <w:p w14:paraId="388373E8">
            <w:pPr>
              <w:spacing w:line="480" w:lineRule="auto"/>
              <w:ind w:firstLine="0" w:firstLineChars="0"/>
              <w:rPr>
                <w:rFonts w:hint="eastAsia"/>
                <w:sz w:val="21"/>
                <w:szCs w:val="21"/>
              </w:rPr>
            </w:pPr>
            <w:r>
              <w:rPr>
                <w:sz w:val="21"/>
                <w:szCs w:val="21"/>
              </w:rPr>
              <w:t>monthly_preds_PLS</w:t>
            </w:r>
          </w:p>
        </w:tc>
        <w:tc>
          <w:tcPr>
            <w:tcW w:w="784" w:type="pct"/>
          </w:tcPr>
          <w:p w14:paraId="26024B6C">
            <w:pPr>
              <w:spacing w:line="480" w:lineRule="auto"/>
              <w:ind w:firstLine="0" w:firstLineChars="0"/>
              <w:jc w:val="center"/>
              <w:rPr>
                <w:rFonts w:hint="eastAsia"/>
                <w:sz w:val="21"/>
                <w:szCs w:val="21"/>
              </w:rPr>
            </w:pPr>
            <w:r>
              <w:rPr>
                <w:sz w:val="21"/>
                <w:szCs w:val="21"/>
              </w:rPr>
              <w:t>0.1777</w:t>
            </w:r>
          </w:p>
        </w:tc>
        <w:tc>
          <w:tcPr>
            <w:tcW w:w="670" w:type="pct"/>
          </w:tcPr>
          <w:p w14:paraId="4114344B">
            <w:pPr>
              <w:spacing w:line="480" w:lineRule="auto"/>
              <w:ind w:firstLine="0" w:firstLineChars="0"/>
              <w:jc w:val="center"/>
              <w:rPr>
                <w:rFonts w:hint="eastAsia"/>
                <w:sz w:val="21"/>
                <w:szCs w:val="21"/>
              </w:rPr>
            </w:pPr>
            <w:r>
              <w:rPr>
                <w:rFonts w:hint="default"/>
                <w:sz w:val="21"/>
                <w:szCs w:val="21"/>
                <w:lang w:val="en-US"/>
              </w:rPr>
              <w:t>0</w:t>
            </w:r>
            <w:r>
              <w:rPr>
                <w:sz w:val="21"/>
                <w:szCs w:val="21"/>
              </w:rPr>
              <w:t>.</w:t>
            </w:r>
            <w:r>
              <w:rPr>
                <w:rFonts w:hint="default"/>
                <w:sz w:val="21"/>
                <w:szCs w:val="21"/>
                <w:lang w:val="en-US"/>
              </w:rPr>
              <w:t>70</w:t>
            </w:r>
            <w:r>
              <w:rPr>
                <w:sz w:val="21"/>
                <w:szCs w:val="21"/>
              </w:rPr>
              <w:t>74</w:t>
            </w:r>
          </w:p>
        </w:tc>
        <w:tc>
          <w:tcPr>
            <w:tcW w:w="670" w:type="pct"/>
          </w:tcPr>
          <w:p w14:paraId="3F26F4B7">
            <w:pPr>
              <w:spacing w:line="480" w:lineRule="auto"/>
              <w:ind w:firstLine="0" w:firstLineChars="0"/>
              <w:jc w:val="center"/>
              <w:rPr>
                <w:rFonts w:hint="eastAsia"/>
                <w:sz w:val="21"/>
                <w:szCs w:val="21"/>
              </w:rPr>
            </w:pPr>
            <w:r>
              <w:rPr>
                <w:sz w:val="21"/>
                <w:szCs w:val="21"/>
              </w:rPr>
              <w:t>0.2657</w:t>
            </w:r>
          </w:p>
        </w:tc>
        <w:tc>
          <w:tcPr>
            <w:tcW w:w="670" w:type="pct"/>
          </w:tcPr>
          <w:p w14:paraId="5486F7A8">
            <w:pPr>
              <w:spacing w:line="480" w:lineRule="auto"/>
              <w:ind w:firstLine="0" w:firstLineChars="0"/>
              <w:jc w:val="center"/>
              <w:rPr>
                <w:rFonts w:hint="eastAsia"/>
                <w:sz w:val="21"/>
                <w:szCs w:val="21"/>
              </w:rPr>
            </w:pPr>
            <w:r>
              <w:rPr>
                <w:sz w:val="21"/>
                <w:szCs w:val="21"/>
              </w:rPr>
              <w:t>15604</w:t>
            </w:r>
          </w:p>
        </w:tc>
        <w:tc>
          <w:tcPr>
            <w:tcW w:w="670" w:type="pct"/>
          </w:tcPr>
          <w:p w14:paraId="58D7C671">
            <w:pPr>
              <w:spacing w:line="480" w:lineRule="auto"/>
              <w:ind w:firstLine="0" w:firstLineChars="0"/>
              <w:jc w:val="center"/>
              <w:rPr>
                <w:rFonts w:hint="eastAsia"/>
                <w:sz w:val="21"/>
                <w:szCs w:val="21"/>
              </w:rPr>
            </w:pPr>
            <w:r>
              <w:rPr>
                <w:sz w:val="21"/>
                <w:szCs w:val="21"/>
              </w:rPr>
              <w:t>0.0423</w:t>
            </w:r>
          </w:p>
        </w:tc>
      </w:tr>
      <w:tr w14:paraId="0EF99B57">
        <w:tc>
          <w:tcPr>
            <w:tcW w:w="1535" w:type="pct"/>
          </w:tcPr>
          <w:p w14:paraId="2885A34C">
            <w:pPr>
              <w:spacing w:line="480" w:lineRule="auto"/>
              <w:ind w:firstLine="0" w:firstLineChars="0"/>
              <w:rPr>
                <w:rFonts w:hint="eastAsia"/>
                <w:sz w:val="21"/>
                <w:szCs w:val="21"/>
              </w:rPr>
            </w:pPr>
            <w:r>
              <w:rPr>
                <w:sz w:val="21"/>
                <w:szCs w:val="21"/>
              </w:rPr>
              <w:t>monthly_preds_RF</w:t>
            </w:r>
          </w:p>
        </w:tc>
        <w:tc>
          <w:tcPr>
            <w:tcW w:w="784" w:type="pct"/>
          </w:tcPr>
          <w:p w14:paraId="29D65953">
            <w:pPr>
              <w:spacing w:line="480" w:lineRule="auto"/>
              <w:ind w:firstLine="0" w:firstLineChars="0"/>
              <w:jc w:val="center"/>
              <w:rPr>
                <w:rFonts w:hint="eastAsia"/>
                <w:sz w:val="21"/>
                <w:szCs w:val="21"/>
              </w:rPr>
            </w:pPr>
            <w:r>
              <w:rPr>
                <w:sz w:val="21"/>
                <w:szCs w:val="21"/>
              </w:rPr>
              <w:t>0.1747</w:t>
            </w:r>
          </w:p>
        </w:tc>
        <w:tc>
          <w:tcPr>
            <w:tcW w:w="670" w:type="pct"/>
          </w:tcPr>
          <w:p w14:paraId="1F2DA044">
            <w:pPr>
              <w:spacing w:line="480" w:lineRule="auto"/>
              <w:ind w:firstLine="0" w:firstLineChars="0"/>
              <w:jc w:val="center"/>
              <w:rPr>
                <w:rFonts w:hint="eastAsia"/>
                <w:sz w:val="21"/>
                <w:szCs w:val="21"/>
              </w:rPr>
            </w:pPr>
            <w:r>
              <w:rPr>
                <w:sz w:val="21"/>
                <w:szCs w:val="21"/>
              </w:rPr>
              <w:t>0.</w:t>
            </w:r>
            <w:r>
              <w:rPr>
                <w:rFonts w:hint="default"/>
                <w:sz w:val="21"/>
                <w:szCs w:val="21"/>
                <w:lang w:val="en-US"/>
              </w:rPr>
              <w:t>91</w:t>
            </w:r>
            <w:r>
              <w:rPr>
                <w:sz w:val="21"/>
                <w:szCs w:val="21"/>
              </w:rPr>
              <w:t>94</w:t>
            </w:r>
          </w:p>
        </w:tc>
        <w:tc>
          <w:tcPr>
            <w:tcW w:w="670" w:type="pct"/>
          </w:tcPr>
          <w:p w14:paraId="346A25BF">
            <w:pPr>
              <w:spacing w:line="480" w:lineRule="auto"/>
              <w:ind w:firstLine="0" w:firstLineChars="0"/>
              <w:jc w:val="center"/>
              <w:rPr>
                <w:rFonts w:hint="eastAsia"/>
                <w:sz w:val="21"/>
                <w:szCs w:val="21"/>
              </w:rPr>
            </w:pPr>
            <w:r>
              <w:rPr>
                <w:sz w:val="21"/>
                <w:szCs w:val="21"/>
              </w:rPr>
              <w:t>0.2630</w:t>
            </w:r>
          </w:p>
        </w:tc>
        <w:tc>
          <w:tcPr>
            <w:tcW w:w="670" w:type="pct"/>
          </w:tcPr>
          <w:p w14:paraId="6736F071">
            <w:pPr>
              <w:spacing w:line="480" w:lineRule="auto"/>
              <w:ind w:firstLine="0" w:firstLineChars="0"/>
              <w:jc w:val="center"/>
              <w:rPr>
                <w:rFonts w:hint="eastAsia"/>
                <w:sz w:val="21"/>
                <w:szCs w:val="21"/>
              </w:rPr>
            </w:pPr>
            <w:r>
              <w:rPr>
                <w:sz w:val="21"/>
                <w:szCs w:val="21"/>
              </w:rPr>
              <w:t>13178</w:t>
            </w:r>
          </w:p>
        </w:tc>
        <w:tc>
          <w:tcPr>
            <w:tcW w:w="670" w:type="pct"/>
          </w:tcPr>
          <w:p w14:paraId="41B31A02">
            <w:pPr>
              <w:spacing w:line="480" w:lineRule="auto"/>
              <w:ind w:firstLine="0" w:firstLineChars="0"/>
              <w:jc w:val="center"/>
              <w:rPr>
                <w:rFonts w:hint="eastAsia"/>
                <w:sz w:val="21"/>
                <w:szCs w:val="21"/>
              </w:rPr>
            </w:pPr>
            <w:r>
              <w:rPr>
                <w:sz w:val="21"/>
                <w:szCs w:val="21"/>
              </w:rPr>
              <w:t>0.0399</w:t>
            </w:r>
          </w:p>
        </w:tc>
      </w:tr>
      <w:tr w14:paraId="788EBEA8">
        <w:tc>
          <w:tcPr>
            <w:tcW w:w="1535" w:type="pct"/>
          </w:tcPr>
          <w:p w14:paraId="18C91F91">
            <w:pPr>
              <w:spacing w:line="480" w:lineRule="auto"/>
              <w:ind w:firstLine="0" w:firstLineChars="0"/>
              <w:rPr>
                <w:rFonts w:hint="eastAsia"/>
                <w:sz w:val="21"/>
                <w:szCs w:val="21"/>
              </w:rPr>
            </w:pPr>
            <w:r>
              <w:rPr>
                <w:sz w:val="21"/>
                <w:szCs w:val="21"/>
              </w:rPr>
              <w:t>preds_LGBM_RF</w:t>
            </w:r>
          </w:p>
        </w:tc>
        <w:tc>
          <w:tcPr>
            <w:tcW w:w="784" w:type="pct"/>
          </w:tcPr>
          <w:p w14:paraId="76CCB1AC">
            <w:pPr>
              <w:spacing w:line="480" w:lineRule="auto"/>
              <w:ind w:firstLine="0" w:firstLineChars="0"/>
              <w:jc w:val="center"/>
              <w:rPr>
                <w:rFonts w:hint="eastAsia"/>
                <w:sz w:val="21"/>
                <w:szCs w:val="21"/>
              </w:rPr>
            </w:pPr>
            <w:r>
              <w:rPr>
                <w:sz w:val="21"/>
                <w:szCs w:val="21"/>
              </w:rPr>
              <w:t>0.1652</w:t>
            </w:r>
          </w:p>
        </w:tc>
        <w:tc>
          <w:tcPr>
            <w:tcW w:w="670" w:type="pct"/>
          </w:tcPr>
          <w:p w14:paraId="25C915F0">
            <w:pPr>
              <w:spacing w:line="480" w:lineRule="auto"/>
              <w:ind w:firstLine="0" w:firstLineChars="0"/>
              <w:jc w:val="center"/>
              <w:rPr>
                <w:rFonts w:hint="eastAsia"/>
                <w:sz w:val="21"/>
                <w:szCs w:val="21"/>
              </w:rPr>
            </w:pPr>
            <w:r>
              <w:rPr>
                <w:sz w:val="21"/>
                <w:szCs w:val="21"/>
              </w:rPr>
              <w:t>0.7195</w:t>
            </w:r>
          </w:p>
        </w:tc>
        <w:tc>
          <w:tcPr>
            <w:tcW w:w="670" w:type="pct"/>
          </w:tcPr>
          <w:p w14:paraId="2E5B54CE">
            <w:pPr>
              <w:spacing w:line="480" w:lineRule="auto"/>
              <w:ind w:firstLine="0" w:firstLineChars="0"/>
              <w:jc w:val="center"/>
              <w:rPr>
                <w:rFonts w:hint="eastAsia"/>
                <w:sz w:val="21"/>
                <w:szCs w:val="21"/>
              </w:rPr>
            </w:pPr>
            <w:r>
              <w:rPr>
                <w:sz w:val="21"/>
                <w:szCs w:val="21"/>
              </w:rPr>
              <w:t>0.3271</w:t>
            </w:r>
          </w:p>
        </w:tc>
        <w:tc>
          <w:tcPr>
            <w:tcW w:w="670" w:type="pct"/>
          </w:tcPr>
          <w:p w14:paraId="00D13AA8">
            <w:pPr>
              <w:spacing w:line="480" w:lineRule="auto"/>
              <w:ind w:firstLine="0" w:firstLineChars="0"/>
              <w:jc w:val="center"/>
              <w:rPr>
                <w:rFonts w:hint="eastAsia"/>
                <w:sz w:val="21"/>
                <w:szCs w:val="21"/>
              </w:rPr>
            </w:pPr>
            <w:r>
              <w:rPr>
                <w:sz w:val="21"/>
                <w:szCs w:val="21"/>
              </w:rPr>
              <w:t>99593</w:t>
            </w:r>
          </w:p>
        </w:tc>
        <w:tc>
          <w:tcPr>
            <w:tcW w:w="670" w:type="pct"/>
          </w:tcPr>
          <w:p w14:paraId="75C3EE02">
            <w:pPr>
              <w:spacing w:line="480" w:lineRule="auto"/>
              <w:ind w:firstLine="0" w:firstLineChars="0"/>
              <w:jc w:val="center"/>
              <w:rPr>
                <w:rFonts w:hint="eastAsia"/>
                <w:sz w:val="21"/>
                <w:szCs w:val="21"/>
              </w:rPr>
            </w:pPr>
            <w:r>
              <w:rPr>
                <w:sz w:val="21"/>
                <w:szCs w:val="21"/>
              </w:rPr>
              <w:t>0.0747</w:t>
            </w:r>
          </w:p>
        </w:tc>
      </w:tr>
      <w:tr w14:paraId="03CA976A">
        <w:tc>
          <w:tcPr>
            <w:tcW w:w="1535" w:type="pct"/>
          </w:tcPr>
          <w:p w14:paraId="1735290C">
            <w:pPr>
              <w:spacing w:line="480" w:lineRule="auto"/>
              <w:ind w:firstLine="0" w:firstLineChars="0"/>
              <w:rPr>
                <w:rFonts w:hint="eastAsia"/>
                <w:sz w:val="21"/>
                <w:szCs w:val="21"/>
              </w:rPr>
            </w:pPr>
            <w:r>
              <w:rPr>
                <w:sz w:val="21"/>
                <w:szCs w:val="21"/>
              </w:rPr>
              <w:t>preds_PLS</w:t>
            </w:r>
          </w:p>
        </w:tc>
        <w:tc>
          <w:tcPr>
            <w:tcW w:w="784" w:type="pct"/>
          </w:tcPr>
          <w:p w14:paraId="6D746821">
            <w:pPr>
              <w:spacing w:line="480" w:lineRule="auto"/>
              <w:ind w:firstLine="0" w:firstLineChars="0"/>
              <w:jc w:val="center"/>
              <w:rPr>
                <w:rFonts w:hint="eastAsia"/>
                <w:sz w:val="21"/>
                <w:szCs w:val="21"/>
              </w:rPr>
            </w:pPr>
            <w:r>
              <w:rPr>
                <w:sz w:val="21"/>
                <w:szCs w:val="21"/>
              </w:rPr>
              <w:t>0.1642</w:t>
            </w:r>
          </w:p>
        </w:tc>
        <w:tc>
          <w:tcPr>
            <w:tcW w:w="670" w:type="pct"/>
          </w:tcPr>
          <w:p w14:paraId="25CBB1BA">
            <w:pPr>
              <w:spacing w:line="480" w:lineRule="auto"/>
              <w:ind w:firstLine="0" w:firstLineChars="0"/>
              <w:jc w:val="center"/>
              <w:rPr>
                <w:rFonts w:hint="eastAsia"/>
                <w:sz w:val="21"/>
                <w:szCs w:val="21"/>
              </w:rPr>
            </w:pPr>
            <w:r>
              <w:rPr>
                <w:sz w:val="21"/>
                <w:szCs w:val="21"/>
              </w:rPr>
              <w:t>0.7494</w:t>
            </w:r>
          </w:p>
        </w:tc>
        <w:tc>
          <w:tcPr>
            <w:tcW w:w="670" w:type="pct"/>
          </w:tcPr>
          <w:p w14:paraId="126DEA3D">
            <w:pPr>
              <w:spacing w:line="480" w:lineRule="auto"/>
              <w:ind w:firstLine="0" w:firstLineChars="0"/>
              <w:jc w:val="center"/>
              <w:rPr>
                <w:rFonts w:hint="eastAsia"/>
                <w:sz w:val="21"/>
                <w:szCs w:val="21"/>
              </w:rPr>
            </w:pPr>
            <w:r>
              <w:rPr>
                <w:sz w:val="21"/>
                <w:szCs w:val="21"/>
              </w:rPr>
              <w:t>0.3552</w:t>
            </w:r>
          </w:p>
        </w:tc>
        <w:tc>
          <w:tcPr>
            <w:tcW w:w="670" w:type="pct"/>
          </w:tcPr>
          <w:p w14:paraId="1DBFEC72">
            <w:pPr>
              <w:spacing w:line="480" w:lineRule="auto"/>
              <w:ind w:firstLine="0" w:firstLineChars="0"/>
              <w:jc w:val="center"/>
              <w:rPr>
                <w:rFonts w:hint="eastAsia"/>
                <w:sz w:val="21"/>
                <w:szCs w:val="21"/>
              </w:rPr>
            </w:pPr>
            <w:r>
              <w:rPr>
                <w:sz w:val="21"/>
                <w:szCs w:val="21"/>
              </w:rPr>
              <w:t>132853</w:t>
            </w:r>
          </w:p>
        </w:tc>
        <w:tc>
          <w:tcPr>
            <w:tcW w:w="670" w:type="pct"/>
          </w:tcPr>
          <w:p w14:paraId="66DE936D">
            <w:pPr>
              <w:spacing w:line="480" w:lineRule="auto"/>
              <w:ind w:firstLine="0" w:firstLineChars="0"/>
              <w:jc w:val="center"/>
              <w:rPr>
                <w:rFonts w:hint="eastAsia"/>
                <w:sz w:val="21"/>
                <w:szCs w:val="21"/>
              </w:rPr>
            </w:pPr>
            <w:r>
              <w:rPr>
                <w:sz w:val="21"/>
                <w:szCs w:val="21"/>
              </w:rPr>
              <w:t>0.0249</w:t>
            </w:r>
          </w:p>
        </w:tc>
      </w:tr>
      <w:tr w14:paraId="25C6DC98">
        <w:tc>
          <w:tcPr>
            <w:tcW w:w="1535" w:type="pct"/>
          </w:tcPr>
          <w:p w14:paraId="0E1F76AE">
            <w:pPr>
              <w:spacing w:line="480" w:lineRule="auto"/>
              <w:ind w:firstLine="0" w:firstLineChars="0"/>
              <w:rPr>
                <w:rFonts w:hint="eastAsia"/>
                <w:sz w:val="21"/>
                <w:szCs w:val="21"/>
              </w:rPr>
            </w:pPr>
            <w:r>
              <w:rPr>
                <w:sz w:val="21"/>
                <w:szCs w:val="21"/>
              </w:rPr>
              <w:t>preds_GLM</w:t>
            </w:r>
          </w:p>
        </w:tc>
        <w:tc>
          <w:tcPr>
            <w:tcW w:w="784" w:type="pct"/>
          </w:tcPr>
          <w:p w14:paraId="6818BB63">
            <w:pPr>
              <w:spacing w:line="480" w:lineRule="auto"/>
              <w:ind w:firstLine="0" w:firstLineChars="0"/>
              <w:jc w:val="center"/>
              <w:rPr>
                <w:rFonts w:hint="eastAsia"/>
                <w:sz w:val="21"/>
                <w:szCs w:val="21"/>
              </w:rPr>
            </w:pPr>
            <w:r>
              <w:rPr>
                <w:sz w:val="21"/>
                <w:szCs w:val="21"/>
              </w:rPr>
              <w:t>0.1635</w:t>
            </w:r>
          </w:p>
        </w:tc>
        <w:tc>
          <w:tcPr>
            <w:tcW w:w="670" w:type="pct"/>
          </w:tcPr>
          <w:p w14:paraId="17D9BE6D">
            <w:pPr>
              <w:spacing w:line="480" w:lineRule="auto"/>
              <w:ind w:firstLine="0" w:firstLineChars="0"/>
              <w:jc w:val="center"/>
              <w:rPr>
                <w:rFonts w:hint="eastAsia"/>
                <w:sz w:val="21"/>
                <w:szCs w:val="21"/>
              </w:rPr>
            </w:pPr>
            <w:r>
              <w:rPr>
                <w:sz w:val="21"/>
                <w:szCs w:val="21"/>
              </w:rPr>
              <w:t>0.6864</w:t>
            </w:r>
          </w:p>
        </w:tc>
        <w:tc>
          <w:tcPr>
            <w:tcW w:w="670" w:type="pct"/>
          </w:tcPr>
          <w:p w14:paraId="176B1FEF">
            <w:pPr>
              <w:spacing w:line="480" w:lineRule="auto"/>
              <w:ind w:firstLine="0" w:firstLineChars="0"/>
              <w:jc w:val="center"/>
              <w:rPr>
                <w:rFonts w:hint="eastAsia"/>
                <w:sz w:val="21"/>
                <w:szCs w:val="21"/>
              </w:rPr>
            </w:pPr>
            <w:r>
              <w:rPr>
                <w:sz w:val="21"/>
                <w:szCs w:val="21"/>
              </w:rPr>
              <w:t>0.3999</w:t>
            </w:r>
          </w:p>
        </w:tc>
        <w:tc>
          <w:tcPr>
            <w:tcW w:w="670" w:type="pct"/>
          </w:tcPr>
          <w:p w14:paraId="03B4E07B">
            <w:pPr>
              <w:spacing w:line="480" w:lineRule="auto"/>
              <w:ind w:firstLine="0" w:firstLineChars="0"/>
              <w:jc w:val="center"/>
              <w:rPr>
                <w:rFonts w:hint="eastAsia"/>
                <w:sz w:val="21"/>
                <w:szCs w:val="21"/>
              </w:rPr>
            </w:pPr>
            <w:r>
              <w:rPr>
                <w:sz w:val="21"/>
                <w:szCs w:val="21"/>
              </w:rPr>
              <w:t>204830</w:t>
            </w:r>
          </w:p>
        </w:tc>
        <w:tc>
          <w:tcPr>
            <w:tcW w:w="670" w:type="pct"/>
          </w:tcPr>
          <w:p w14:paraId="4D147B31">
            <w:pPr>
              <w:spacing w:line="480" w:lineRule="auto"/>
              <w:ind w:firstLine="0" w:firstLineChars="0"/>
              <w:jc w:val="center"/>
              <w:rPr>
                <w:rFonts w:hint="eastAsia"/>
                <w:sz w:val="21"/>
                <w:szCs w:val="21"/>
              </w:rPr>
            </w:pPr>
            <w:r>
              <w:rPr>
                <w:sz w:val="21"/>
                <w:szCs w:val="21"/>
              </w:rPr>
              <w:t>0.0431</w:t>
            </w:r>
          </w:p>
        </w:tc>
      </w:tr>
      <w:tr w14:paraId="1344BD17">
        <w:tc>
          <w:tcPr>
            <w:tcW w:w="1535" w:type="pct"/>
          </w:tcPr>
          <w:p w14:paraId="59098C3B">
            <w:pPr>
              <w:spacing w:line="480" w:lineRule="auto"/>
              <w:ind w:firstLine="0" w:firstLineChars="0"/>
              <w:rPr>
                <w:rFonts w:hint="eastAsia"/>
                <w:sz w:val="21"/>
                <w:szCs w:val="21"/>
              </w:rPr>
            </w:pPr>
            <w:r>
              <w:rPr>
                <w:sz w:val="21"/>
                <w:szCs w:val="21"/>
              </w:rPr>
              <w:t>monthly_preds_OLS</w:t>
            </w:r>
          </w:p>
        </w:tc>
        <w:tc>
          <w:tcPr>
            <w:tcW w:w="784" w:type="pct"/>
          </w:tcPr>
          <w:p w14:paraId="5E55AB8B">
            <w:pPr>
              <w:spacing w:line="480" w:lineRule="auto"/>
              <w:ind w:firstLine="0" w:firstLineChars="0"/>
              <w:jc w:val="center"/>
              <w:rPr>
                <w:rFonts w:hint="eastAsia"/>
                <w:sz w:val="21"/>
                <w:szCs w:val="21"/>
              </w:rPr>
            </w:pPr>
            <w:r>
              <w:rPr>
                <w:sz w:val="21"/>
                <w:szCs w:val="21"/>
              </w:rPr>
              <w:t>0.1614</w:t>
            </w:r>
          </w:p>
        </w:tc>
        <w:tc>
          <w:tcPr>
            <w:tcW w:w="670" w:type="pct"/>
          </w:tcPr>
          <w:p w14:paraId="17A2D3DB">
            <w:pPr>
              <w:spacing w:line="480" w:lineRule="auto"/>
              <w:ind w:firstLine="0" w:firstLineChars="0"/>
              <w:jc w:val="center"/>
              <w:rPr>
                <w:rFonts w:hint="eastAsia"/>
                <w:sz w:val="21"/>
                <w:szCs w:val="21"/>
              </w:rPr>
            </w:pPr>
            <w:r>
              <w:rPr>
                <w:rFonts w:hint="default"/>
                <w:sz w:val="21"/>
                <w:szCs w:val="21"/>
                <w:lang w:val="en-US"/>
              </w:rPr>
              <w:t>0</w:t>
            </w:r>
            <w:r>
              <w:rPr>
                <w:sz w:val="21"/>
                <w:szCs w:val="21"/>
              </w:rPr>
              <w:t>.</w:t>
            </w:r>
            <w:r>
              <w:rPr>
                <w:rFonts w:hint="default"/>
                <w:sz w:val="21"/>
                <w:szCs w:val="21"/>
                <w:lang w:val="en-US"/>
              </w:rPr>
              <w:t>67</w:t>
            </w:r>
            <w:r>
              <w:rPr>
                <w:sz w:val="21"/>
                <w:szCs w:val="21"/>
              </w:rPr>
              <w:t>75</w:t>
            </w:r>
          </w:p>
        </w:tc>
        <w:tc>
          <w:tcPr>
            <w:tcW w:w="670" w:type="pct"/>
          </w:tcPr>
          <w:p w14:paraId="5CA642A9">
            <w:pPr>
              <w:spacing w:line="480" w:lineRule="auto"/>
              <w:ind w:firstLine="0" w:firstLineChars="0"/>
              <w:jc w:val="center"/>
              <w:rPr>
                <w:rFonts w:hint="eastAsia"/>
                <w:sz w:val="21"/>
                <w:szCs w:val="21"/>
              </w:rPr>
            </w:pPr>
            <w:r>
              <w:rPr>
                <w:sz w:val="21"/>
                <w:szCs w:val="21"/>
              </w:rPr>
              <w:t>0.2249</w:t>
            </w:r>
          </w:p>
        </w:tc>
        <w:tc>
          <w:tcPr>
            <w:tcW w:w="670" w:type="pct"/>
          </w:tcPr>
          <w:p w14:paraId="71583FE2">
            <w:pPr>
              <w:spacing w:line="480" w:lineRule="auto"/>
              <w:ind w:firstLine="0" w:firstLineChars="0"/>
              <w:jc w:val="center"/>
              <w:rPr>
                <w:rFonts w:hint="eastAsia"/>
                <w:sz w:val="21"/>
                <w:szCs w:val="21"/>
              </w:rPr>
            </w:pPr>
            <w:r>
              <w:rPr>
                <w:sz w:val="21"/>
                <w:szCs w:val="21"/>
              </w:rPr>
              <w:t>21667</w:t>
            </w:r>
          </w:p>
        </w:tc>
        <w:tc>
          <w:tcPr>
            <w:tcW w:w="670" w:type="pct"/>
          </w:tcPr>
          <w:p w14:paraId="6197AFEB">
            <w:pPr>
              <w:spacing w:line="480" w:lineRule="auto"/>
              <w:ind w:firstLine="0" w:firstLineChars="0"/>
              <w:jc w:val="center"/>
              <w:rPr>
                <w:rFonts w:hint="eastAsia"/>
                <w:sz w:val="21"/>
                <w:szCs w:val="21"/>
              </w:rPr>
            </w:pPr>
            <w:r>
              <w:rPr>
                <w:sz w:val="21"/>
                <w:szCs w:val="21"/>
              </w:rPr>
              <w:t>0.0434</w:t>
            </w:r>
          </w:p>
        </w:tc>
      </w:tr>
      <w:tr w14:paraId="24D8FC33">
        <w:tc>
          <w:tcPr>
            <w:tcW w:w="1535" w:type="pct"/>
          </w:tcPr>
          <w:p w14:paraId="4F16D25A">
            <w:pPr>
              <w:spacing w:line="480" w:lineRule="auto"/>
              <w:ind w:firstLine="0" w:firstLineChars="0"/>
              <w:rPr>
                <w:rFonts w:hint="eastAsia"/>
                <w:sz w:val="21"/>
                <w:szCs w:val="21"/>
              </w:rPr>
            </w:pPr>
            <w:r>
              <w:rPr>
                <w:sz w:val="21"/>
                <w:szCs w:val="21"/>
              </w:rPr>
              <w:t>monthly_preds_LGBM</w:t>
            </w:r>
          </w:p>
        </w:tc>
        <w:tc>
          <w:tcPr>
            <w:tcW w:w="784" w:type="pct"/>
          </w:tcPr>
          <w:p w14:paraId="3990ACF9">
            <w:pPr>
              <w:spacing w:line="480" w:lineRule="auto"/>
              <w:ind w:firstLine="0" w:firstLineChars="0"/>
              <w:jc w:val="center"/>
              <w:rPr>
                <w:rFonts w:hint="eastAsia"/>
                <w:sz w:val="21"/>
                <w:szCs w:val="21"/>
              </w:rPr>
            </w:pPr>
            <w:r>
              <w:rPr>
                <w:sz w:val="21"/>
                <w:szCs w:val="21"/>
              </w:rPr>
              <w:t>0.1614</w:t>
            </w:r>
          </w:p>
        </w:tc>
        <w:tc>
          <w:tcPr>
            <w:tcW w:w="670" w:type="pct"/>
          </w:tcPr>
          <w:p w14:paraId="7E48A3F8">
            <w:pPr>
              <w:spacing w:line="480" w:lineRule="auto"/>
              <w:ind w:firstLine="0" w:firstLineChars="0"/>
              <w:jc w:val="center"/>
              <w:rPr>
                <w:rFonts w:hint="eastAsia"/>
                <w:sz w:val="21"/>
                <w:szCs w:val="21"/>
              </w:rPr>
            </w:pPr>
            <w:r>
              <w:rPr>
                <w:sz w:val="21"/>
                <w:szCs w:val="21"/>
              </w:rPr>
              <w:t>0.</w:t>
            </w:r>
            <w:r>
              <w:rPr>
                <w:rFonts w:hint="default"/>
                <w:sz w:val="21"/>
                <w:szCs w:val="21"/>
                <w:lang w:val="en-US"/>
              </w:rPr>
              <w:t>65</w:t>
            </w:r>
            <w:r>
              <w:rPr>
                <w:sz w:val="21"/>
                <w:szCs w:val="21"/>
              </w:rPr>
              <w:t>46</w:t>
            </w:r>
          </w:p>
        </w:tc>
        <w:tc>
          <w:tcPr>
            <w:tcW w:w="670" w:type="pct"/>
          </w:tcPr>
          <w:p w14:paraId="43C7674A">
            <w:pPr>
              <w:spacing w:line="480" w:lineRule="auto"/>
              <w:ind w:firstLine="0" w:firstLineChars="0"/>
              <w:jc w:val="center"/>
              <w:rPr>
                <w:rFonts w:hint="eastAsia"/>
                <w:sz w:val="21"/>
                <w:szCs w:val="21"/>
              </w:rPr>
            </w:pPr>
            <w:r>
              <w:rPr>
                <w:sz w:val="21"/>
                <w:szCs w:val="21"/>
              </w:rPr>
              <w:t>0.2889</w:t>
            </w:r>
          </w:p>
        </w:tc>
        <w:tc>
          <w:tcPr>
            <w:tcW w:w="670" w:type="pct"/>
          </w:tcPr>
          <w:p w14:paraId="53D26802">
            <w:pPr>
              <w:spacing w:line="480" w:lineRule="auto"/>
              <w:ind w:firstLine="0" w:firstLineChars="0"/>
              <w:jc w:val="center"/>
              <w:rPr>
                <w:rFonts w:hint="eastAsia"/>
                <w:sz w:val="21"/>
                <w:szCs w:val="21"/>
              </w:rPr>
            </w:pPr>
            <w:r>
              <w:rPr>
                <w:sz w:val="21"/>
                <w:szCs w:val="21"/>
              </w:rPr>
              <w:t>18564</w:t>
            </w:r>
          </w:p>
        </w:tc>
        <w:tc>
          <w:tcPr>
            <w:tcW w:w="670" w:type="pct"/>
          </w:tcPr>
          <w:p w14:paraId="49ED04AB">
            <w:pPr>
              <w:spacing w:line="480" w:lineRule="auto"/>
              <w:ind w:firstLine="0" w:firstLineChars="0"/>
              <w:jc w:val="center"/>
              <w:rPr>
                <w:rFonts w:hint="eastAsia"/>
                <w:sz w:val="21"/>
                <w:szCs w:val="21"/>
              </w:rPr>
            </w:pPr>
            <w:r>
              <w:rPr>
                <w:sz w:val="21"/>
                <w:szCs w:val="21"/>
              </w:rPr>
              <w:t>0.0221</w:t>
            </w:r>
          </w:p>
        </w:tc>
      </w:tr>
      <w:tr w14:paraId="67CCF3F9">
        <w:tc>
          <w:tcPr>
            <w:tcW w:w="1535" w:type="pct"/>
          </w:tcPr>
          <w:p w14:paraId="334FEF78">
            <w:pPr>
              <w:spacing w:line="480" w:lineRule="auto"/>
              <w:ind w:firstLine="0" w:firstLineChars="0"/>
              <w:rPr>
                <w:rFonts w:hint="eastAsia"/>
                <w:sz w:val="21"/>
                <w:szCs w:val="21"/>
              </w:rPr>
            </w:pPr>
            <w:r>
              <w:rPr>
                <w:sz w:val="21"/>
                <w:szCs w:val="21"/>
              </w:rPr>
              <w:t>preds_OLS</w:t>
            </w:r>
          </w:p>
        </w:tc>
        <w:tc>
          <w:tcPr>
            <w:tcW w:w="784" w:type="pct"/>
          </w:tcPr>
          <w:p w14:paraId="1CA29840">
            <w:pPr>
              <w:spacing w:line="480" w:lineRule="auto"/>
              <w:ind w:firstLine="0" w:firstLineChars="0"/>
              <w:jc w:val="center"/>
              <w:rPr>
                <w:rFonts w:hint="eastAsia"/>
                <w:sz w:val="21"/>
                <w:szCs w:val="21"/>
              </w:rPr>
            </w:pPr>
            <w:r>
              <w:rPr>
                <w:sz w:val="21"/>
                <w:szCs w:val="21"/>
              </w:rPr>
              <w:t>0.1577</w:t>
            </w:r>
          </w:p>
        </w:tc>
        <w:tc>
          <w:tcPr>
            <w:tcW w:w="670" w:type="pct"/>
          </w:tcPr>
          <w:p w14:paraId="24B797EF">
            <w:pPr>
              <w:spacing w:line="480" w:lineRule="auto"/>
              <w:ind w:firstLine="0" w:firstLineChars="0"/>
              <w:jc w:val="center"/>
              <w:rPr>
                <w:rFonts w:hint="eastAsia"/>
                <w:sz w:val="21"/>
                <w:szCs w:val="21"/>
              </w:rPr>
            </w:pPr>
            <w:r>
              <w:rPr>
                <w:sz w:val="21"/>
                <w:szCs w:val="21"/>
              </w:rPr>
              <w:t>0.</w:t>
            </w:r>
            <w:r>
              <w:rPr>
                <w:rFonts w:hint="default"/>
                <w:sz w:val="21"/>
                <w:szCs w:val="21"/>
                <w:lang w:val="en-US"/>
              </w:rPr>
              <w:t>6</w:t>
            </w:r>
            <w:r>
              <w:rPr>
                <w:sz w:val="21"/>
                <w:szCs w:val="21"/>
              </w:rPr>
              <w:t>359</w:t>
            </w:r>
          </w:p>
        </w:tc>
        <w:tc>
          <w:tcPr>
            <w:tcW w:w="670" w:type="pct"/>
          </w:tcPr>
          <w:p w14:paraId="324C66A5">
            <w:pPr>
              <w:spacing w:line="480" w:lineRule="auto"/>
              <w:ind w:firstLine="0" w:firstLineChars="0"/>
              <w:jc w:val="center"/>
              <w:rPr>
                <w:rFonts w:hint="eastAsia"/>
                <w:sz w:val="21"/>
                <w:szCs w:val="21"/>
              </w:rPr>
            </w:pPr>
            <w:r>
              <w:rPr>
                <w:sz w:val="21"/>
                <w:szCs w:val="21"/>
              </w:rPr>
              <w:t>0.3780</w:t>
            </w:r>
          </w:p>
        </w:tc>
        <w:tc>
          <w:tcPr>
            <w:tcW w:w="670" w:type="pct"/>
          </w:tcPr>
          <w:p w14:paraId="380A91F9">
            <w:pPr>
              <w:spacing w:line="480" w:lineRule="auto"/>
              <w:ind w:firstLine="0" w:firstLineChars="0"/>
              <w:jc w:val="center"/>
              <w:rPr>
                <w:rFonts w:hint="eastAsia"/>
                <w:sz w:val="21"/>
                <w:szCs w:val="21"/>
              </w:rPr>
            </w:pPr>
            <w:r>
              <w:rPr>
                <w:sz w:val="21"/>
                <w:szCs w:val="21"/>
              </w:rPr>
              <w:t>152449</w:t>
            </w:r>
          </w:p>
        </w:tc>
        <w:tc>
          <w:tcPr>
            <w:tcW w:w="670" w:type="pct"/>
          </w:tcPr>
          <w:p w14:paraId="088EC29F">
            <w:pPr>
              <w:spacing w:line="480" w:lineRule="auto"/>
              <w:ind w:firstLine="0" w:firstLineChars="0"/>
              <w:jc w:val="center"/>
              <w:rPr>
                <w:rFonts w:hint="eastAsia"/>
                <w:sz w:val="21"/>
                <w:szCs w:val="21"/>
              </w:rPr>
            </w:pPr>
            <w:r>
              <w:rPr>
                <w:sz w:val="21"/>
                <w:szCs w:val="21"/>
              </w:rPr>
              <w:t>0.0412</w:t>
            </w:r>
          </w:p>
        </w:tc>
      </w:tr>
      <w:tr w14:paraId="1ECC8B06">
        <w:tc>
          <w:tcPr>
            <w:tcW w:w="1535" w:type="pct"/>
          </w:tcPr>
          <w:p w14:paraId="3CB889B9">
            <w:pPr>
              <w:spacing w:line="480" w:lineRule="auto"/>
              <w:ind w:firstLine="0" w:firstLineChars="0"/>
              <w:rPr>
                <w:rFonts w:hint="eastAsia"/>
                <w:sz w:val="21"/>
                <w:szCs w:val="21"/>
              </w:rPr>
            </w:pPr>
            <w:r>
              <w:rPr>
                <w:sz w:val="21"/>
                <w:szCs w:val="21"/>
              </w:rPr>
              <w:t>preds_Transformer</w:t>
            </w:r>
          </w:p>
        </w:tc>
        <w:tc>
          <w:tcPr>
            <w:tcW w:w="784" w:type="pct"/>
          </w:tcPr>
          <w:p w14:paraId="0E885820">
            <w:pPr>
              <w:spacing w:line="480" w:lineRule="auto"/>
              <w:ind w:firstLine="0" w:firstLineChars="0"/>
              <w:jc w:val="center"/>
              <w:rPr>
                <w:rFonts w:hint="eastAsia"/>
                <w:sz w:val="21"/>
                <w:szCs w:val="21"/>
              </w:rPr>
            </w:pPr>
            <w:r>
              <w:rPr>
                <w:sz w:val="21"/>
                <w:szCs w:val="21"/>
              </w:rPr>
              <w:t>0.1439</w:t>
            </w:r>
          </w:p>
        </w:tc>
        <w:tc>
          <w:tcPr>
            <w:tcW w:w="670" w:type="pct"/>
          </w:tcPr>
          <w:p w14:paraId="1FA975E7">
            <w:pPr>
              <w:spacing w:line="480" w:lineRule="auto"/>
              <w:ind w:firstLine="0" w:firstLineChars="0"/>
              <w:jc w:val="center"/>
              <w:rPr>
                <w:rFonts w:hint="eastAsia"/>
                <w:sz w:val="21"/>
                <w:szCs w:val="21"/>
              </w:rPr>
            </w:pPr>
            <w:r>
              <w:rPr>
                <w:sz w:val="21"/>
                <w:szCs w:val="21"/>
              </w:rPr>
              <w:t>0.</w:t>
            </w:r>
            <w:r>
              <w:rPr>
                <w:rFonts w:hint="default"/>
                <w:sz w:val="21"/>
                <w:szCs w:val="21"/>
                <w:lang w:val="en-US"/>
              </w:rPr>
              <w:t>6</w:t>
            </w:r>
            <w:r>
              <w:rPr>
                <w:sz w:val="21"/>
                <w:szCs w:val="21"/>
              </w:rPr>
              <w:t>693</w:t>
            </w:r>
          </w:p>
        </w:tc>
        <w:tc>
          <w:tcPr>
            <w:tcW w:w="670" w:type="pct"/>
          </w:tcPr>
          <w:p w14:paraId="431CF430">
            <w:pPr>
              <w:spacing w:line="480" w:lineRule="auto"/>
              <w:ind w:firstLine="0" w:firstLineChars="0"/>
              <w:jc w:val="center"/>
              <w:rPr>
                <w:rFonts w:hint="eastAsia"/>
                <w:sz w:val="21"/>
                <w:szCs w:val="21"/>
              </w:rPr>
            </w:pPr>
            <w:r>
              <w:rPr>
                <w:sz w:val="21"/>
                <w:szCs w:val="21"/>
              </w:rPr>
              <w:t>0.3152</w:t>
            </w:r>
          </w:p>
        </w:tc>
        <w:tc>
          <w:tcPr>
            <w:tcW w:w="670" w:type="pct"/>
          </w:tcPr>
          <w:p w14:paraId="48D0A409">
            <w:pPr>
              <w:spacing w:line="480" w:lineRule="auto"/>
              <w:ind w:firstLine="0" w:firstLineChars="0"/>
              <w:jc w:val="center"/>
              <w:rPr>
                <w:rFonts w:hint="eastAsia"/>
                <w:sz w:val="21"/>
                <w:szCs w:val="21"/>
              </w:rPr>
            </w:pPr>
            <w:r>
              <w:rPr>
                <w:sz w:val="21"/>
                <w:szCs w:val="21"/>
              </w:rPr>
              <w:t>131800</w:t>
            </w:r>
          </w:p>
        </w:tc>
        <w:tc>
          <w:tcPr>
            <w:tcW w:w="670" w:type="pct"/>
          </w:tcPr>
          <w:p w14:paraId="0731DBDE">
            <w:pPr>
              <w:spacing w:line="480" w:lineRule="auto"/>
              <w:ind w:firstLine="0" w:firstLineChars="0"/>
              <w:jc w:val="center"/>
              <w:rPr>
                <w:rFonts w:hint="eastAsia"/>
                <w:sz w:val="21"/>
                <w:szCs w:val="21"/>
              </w:rPr>
            </w:pPr>
            <w:r>
              <w:rPr>
                <w:sz w:val="21"/>
                <w:szCs w:val="21"/>
              </w:rPr>
              <w:t>-0.0082</w:t>
            </w:r>
          </w:p>
        </w:tc>
      </w:tr>
      <w:tr w14:paraId="6D994308">
        <w:tc>
          <w:tcPr>
            <w:tcW w:w="1535" w:type="pct"/>
          </w:tcPr>
          <w:p w14:paraId="27FE2193">
            <w:pPr>
              <w:spacing w:line="480" w:lineRule="auto"/>
              <w:ind w:firstLine="0" w:firstLineChars="0"/>
              <w:rPr>
                <w:rFonts w:hint="eastAsia"/>
                <w:sz w:val="21"/>
                <w:szCs w:val="21"/>
              </w:rPr>
            </w:pPr>
            <w:r>
              <w:rPr>
                <w:sz w:val="21"/>
                <w:szCs w:val="21"/>
              </w:rPr>
              <w:t>preds_ENET</w:t>
            </w:r>
          </w:p>
        </w:tc>
        <w:tc>
          <w:tcPr>
            <w:tcW w:w="784" w:type="pct"/>
          </w:tcPr>
          <w:p w14:paraId="5B5AC750">
            <w:pPr>
              <w:spacing w:line="480" w:lineRule="auto"/>
              <w:ind w:firstLine="0" w:firstLineChars="0"/>
              <w:jc w:val="center"/>
              <w:rPr>
                <w:rFonts w:hint="eastAsia"/>
                <w:sz w:val="21"/>
                <w:szCs w:val="21"/>
              </w:rPr>
            </w:pPr>
            <w:r>
              <w:rPr>
                <w:sz w:val="21"/>
                <w:szCs w:val="21"/>
              </w:rPr>
              <w:t>0.0937</w:t>
            </w:r>
          </w:p>
        </w:tc>
        <w:tc>
          <w:tcPr>
            <w:tcW w:w="670" w:type="pct"/>
          </w:tcPr>
          <w:p w14:paraId="449D29C5">
            <w:pPr>
              <w:spacing w:line="480" w:lineRule="auto"/>
              <w:ind w:firstLine="0" w:firstLineChars="0"/>
              <w:jc w:val="center"/>
              <w:rPr>
                <w:rFonts w:hint="eastAsia"/>
                <w:sz w:val="21"/>
                <w:szCs w:val="21"/>
              </w:rPr>
            </w:pPr>
            <w:r>
              <w:rPr>
                <w:sz w:val="21"/>
                <w:szCs w:val="21"/>
              </w:rPr>
              <w:t>0.5397</w:t>
            </w:r>
          </w:p>
        </w:tc>
        <w:tc>
          <w:tcPr>
            <w:tcW w:w="670" w:type="pct"/>
          </w:tcPr>
          <w:p w14:paraId="5C583F02">
            <w:pPr>
              <w:spacing w:line="480" w:lineRule="auto"/>
              <w:ind w:firstLine="0" w:firstLineChars="0"/>
              <w:jc w:val="center"/>
              <w:rPr>
                <w:rFonts w:hint="eastAsia"/>
                <w:sz w:val="21"/>
                <w:szCs w:val="21"/>
              </w:rPr>
            </w:pPr>
            <w:r>
              <w:rPr>
                <w:sz w:val="21"/>
                <w:szCs w:val="21"/>
              </w:rPr>
              <w:t>0.3869</w:t>
            </w:r>
          </w:p>
        </w:tc>
        <w:tc>
          <w:tcPr>
            <w:tcW w:w="670" w:type="pct"/>
          </w:tcPr>
          <w:p w14:paraId="407624C4">
            <w:pPr>
              <w:spacing w:line="480" w:lineRule="auto"/>
              <w:ind w:firstLine="0" w:firstLineChars="0"/>
              <w:jc w:val="center"/>
              <w:rPr>
                <w:rFonts w:hint="eastAsia"/>
                <w:sz w:val="21"/>
                <w:szCs w:val="21"/>
              </w:rPr>
            </w:pPr>
            <w:r>
              <w:rPr>
                <w:sz w:val="21"/>
                <w:szCs w:val="21"/>
              </w:rPr>
              <w:t>92783</w:t>
            </w:r>
          </w:p>
        </w:tc>
        <w:tc>
          <w:tcPr>
            <w:tcW w:w="670" w:type="pct"/>
          </w:tcPr>
          <w:p w14:paraId="0F6D4268">
            <w:pPr>
              <w:spacing w:line="480" w:lineRule="auto"/>
              <w:ind w:firstLine="0" w:firstLineChars="0"/>
              <w:jc w:val="center"/>
              <w:rPr>
                <w:rFonts w:hint="eastAsia"/>
                <w:sz w:val="21"/>
                <w:szCs w:val="21"/>
              </w:rPr>
            </w:pPr>
            <w:r>
              <w:rPr>
                <w:sz w:val="21"/>
                <w:szCs w:val="21"/>
              </w:rPr>
              <w:t>-0.0397</w:t>
            </w:r>
          </w:p>
        </w:tc>
      </w:tr>
      <w:tr w14:paraId="3D7B4BF5">
        <w:tc>
          <w:tcPr>
            <w:tcW w:w="1535" w:type="pct"/>
          </w:tcPr>
          <w:p w14:paraId="2BAD6D0A">
            <w:pPr>
              <w:spacing w:line="480" w:lineRule="auto"/>
              <w:ind w:firstLine="0" w:firstLineChars="0"/>
              <w:rPr>
                <w:rFonts w:hint="eastAsia"/>
                <w:sz w:val="21"/>
                <w:szCs w:val="21"/>
              </w:rPr>
            </w:pPr>
            <w:r>
              <w:rPr>
                <w:sz w:val="21"/>
                <w:szCs w:val="21"/>
              </w:rPr>
              <w:t>monthly_preds_NN</w:t>
            </w:r>
          </w:p>
        </w:tc>
        <w:tc>
          <w:tcPr>
            <w:tcW w:w="784" w:type="pct"/>
          </w:tcPr>
          <w:p w14:paraId="373CD819">
            <w:pPr>
              <w:spacing w:line="480" w:lineRule="auto"/>
              <w:ind w:firstLine="0" w:firstLineChars="0"/>
              <w:jc w:val="center"/>
              <w:rPr>
                <w:rFonts w:hint="eastAsia"/>
                <w:sz w:val="21"/>
                <w:szCs w:val="21"/>
              </w:rPr>
            </w:pPr>
            <w:r>
              <w:rPr>
                <w:sz w:val="21"/>
                <w:szCs w:val="21"/>
              </w:rPr>
              <w:t>0.0593</w:t>
            </w:r>
          </w:p>
        </w:tc>
        <w:tc>
          <w:tcPr>
            <w:tcW w:w="670" w:type="pct"/>
          </w:tcPr>
          <w:p w14:paraId="343B0B27">
            <w:pPr>
              <w:spacing w:line="480" w:lineRule="auto"/>
              <w:ind w:firstLine="0" w:firstLineChars="0"/>
              <w:jc w:val="center"/>
              <w:rPr>
                <w:rFonts w:hint="eastAsia"/>
                <w:sz w:val="21"/>
                <w:szCs w:val="21"/>
              </w:rPr>
            </w:pPr>
            <w:r>
              <w:rPr>
                <w:sz w:val="21"/>
                <w:szCs w:val="21"/>
              </w:rPr>
              <w:t>0.3507</w:t>
            </w:r>
          </w:p>
        </w:tc>
        <w:tc>
          <w:tcPr>
            <w:tcW w:w="670" w:type="pct"/>
          </w:tcPr>
          <w:p w14:paraId="5827A95D">
            <w:pPr>
              <w:spacing w:line="480" w:lineRule="auto"/>
              <w:ind w:firstLine="0" w:firstLineChars="0"/>
              <w:jc w:val="center"/>
              <w:rPr>
                <w:rFonts w:hint="eastAsia"/>
                <w:sz w:val="21"/>
                <w:szCs w:val="21"/>
              </w:rPr>
            </w:pPr>
            <w:r>
              <w:rPr>
                <w:sz w:val="21"/>
                <w:szCs w:val="21"/>
              </w:rPr>
              <w:t>0.4124</w:t>
            </w:r>
          </w:p>
        </w:tc>
        <w:tc>
          <w:tcPr>
            <w:tcW w:w="670" w:type="pct"/>
          </w:tcPr>
          <w:p w14:paraId="04993898">
            <w:pPr>
              <w:spacing w:line="480" w:lineRule="auto"/>
              <w:ind w:firstLine="0" w:firstLineChars="0"/>
              <w:jc w:val="center"/>
              <w:rPr>
                <w:rFonts w:hint="eastAsia"/>
                <w:sz w:val="21"/>
                <w:szCs w:val="21"/>
              </w:rPr>
            </w:pPr>
            <w:r>
              <w:rPr>
                <w:sz w:val="21"/>
                <w:szCs w:val="21"/>
              </w:rPr>
              <w:t>21587</w:t>
            </w:r>
          </w:p>
        </w:tc>
        <w:tc>
          <w:tcPr>
            <w:tcW w:w="670" w:type="pct"/>
          </w:tcPr>
          <w:p w14:paraId="051CD09A">
            <w:pPr>
              <w:spacing w:line="480" w:lineRule="auto"/>
              <w:ind w:firstLine="0" w:firstLineChars="0"/>
              <w:jc w:val="center"/>
              <w:rPr>
                <w:rFonts w:hint="eastAsia"/>
                <w:sz w:val="21"/>
                <w:szCs w:val="21"/>
              </w:rPr>
            </w:pPr>
            <w:r>
              <w:rPr>
                <w:sz w:val="21"/>
                <w:szCs w:val="21"/>
              </w:rPr>
              <w:t>0.0301</w:t>
            </w:r>
          </w:p>
        </w:tc>
      </w:tr>
      <w:tr w14:paraId="1AAA5408">
        <w:tc>
          <w:tcPr>
            <w:tcW w:w="1535" w:type="pct"/>
          </w:tcPr>
          <w:p w14:paraId="3E1DCFB2">
            <w:pPr>
              <w:spacing w:line="480" w:lineRule="auto"/>
              <w:ind w:firstLine="0" w:firstLineChars="0"/>
              <w:rPr>
                <w:rFonts w:hint="eastAsia"/>
                <w:sz w:val="21"/>
                <w:szCs w:val="21"/>
              </w:rPr>
            </w:pPr>
            <w:r>
              <w:rPr>
                <w:sz w:val="21"/>
                <w:szCs w:val="21"/>
              </w:rPr>
              <w:t>preds_NN2_3</w:t>
            </w:r>
          </w:p>
        </w:tc>
        <w:tc>
          <w:tcPr>
            <w:tcW w:w="784" w:type="pct"/>
          </w:tcPr>
          <w:p w14:paraId="18B5A367">
            <w:pPr>
              <w:spacing w:line="480" w:lineRule="auto"/>
              <w:ind w:firstLine="0" w:firstLineChars="0"/>
              <w:jc w:val="center"/>
              <w:rPr>
                <w:rFonts w:hint="eastAsia"/>
                <w:sz w:val="21"/>
                <w:szCs w:val="21"/>
              </w:rPr>
            </w:pPr>
            <w:r>
              <w:rPr>
                <w:sz w:val="21"/>
                <w:szCs w:val="21"/>
              </w:rPr>
              <w:t>-0.0133</w:t>
            </w:r>
          </w:p>
        </w:tc>
        <w:tc>
          <w:tcPr>
            <w:tcW w:w="670" w:type="pct"/>
          </w:tcPr>
          <w:p w14:paraId="0B4A61B1">
            <w:pPr>
              <w:spacing w:line="480" w:lineRule="auto"/>
              <w:ind w:firstLine="0" w:firstLineChars="0"/>
              <w:jc w:val="center"/>
              <w:rPr>
                <w:rFonts w:hint="eastAsia"/>
                <w:sz w:val="21"/>
                <w:szCs w:val="21"/>
              </w:rPr>
            </w:pPr>
            <w:r>
              <w:rPr>
                <w:sz w:val="21"/>
                <w:szCs w:val="21"/>
              </w:rPr>
              <w:t>-0.</w:t>
            </w:r>
            <w:r>
              <w:rPr>
                <w:rFonts w:hint="default"/>
                <w:sz w:val="21"/>
                <w:szCs w:val="21"/>
                <w:lang w:val="en-US"/>
              </w:rPr>
              <w:t>0</w:t>
            </w:r>
            <w:r>
              <w:rPr>
                <w:sz w:val="21"/>
                <w:szCs w:val="21"/>
              </w:rPr>
              <w:t>320</w:t>
            </w:r>
          </w:p>
        </w:tc>
        <w:tc>
          <w:tcPr>
            <w:tcW w:w="670" w:type="pct"/>
          </w:tcPr>
          <w:p w14:paraId="3F926A6A">
            <w:pPr>
              <w:spacing w:line="480" w:lineRule="auto"/>
              <w:ind w:firstLine="0" w:firstLineChars="0"/>
              <w:jc w:val="center"/>
              <w:rPr>
                <w:rFonts w:hint="eastAsia"/>
                <w:sz w:val="21"/>
                <w:szCs w:val="21"/>
              </w:rPr>
            </w:pPr>
            <w:r>
              <w:rPr>
                <w:sz w:val="21"/>
                <w:szCs w:val="21"/>
              </w:rPr>
              <w:t>0.4793</w:t>
            </w:r>
          </w:p>
        </w:tc>
        <w:tc>
          <w:tcPr>
            <w:tcW w:w="670" w:type="pct"/>
          </w:tcPr>
          <w:p w14:paraId="6F09374D">
            <w:pPr>
              <w:spacing w:line="480" w:lineRule="auto"/>
              <w:ind w:firstLine="0" w:firstLineChars="0"/>
              <w:jc w:val="center"/>
              <w:rPr>
                <w:rFonts w:hint="eastAsia"/>
                <w:sz w:val="21"/>
                <w:szCs w:val="21"/>
              </w:rPr>
            </w:pPr>
            <w:r>
              <w:rPr>
                <w:sz w:val="21"/>
                <w:szCs w:val="21"/>
              </w:rPr>
              <w:t>212837</w:t>
            </w:r>
          </w:p>
        </w:tc>
        <w:tc>
          <w:tcPr>
            <w:tcW w:w="670" w:type="pct"/>
          </w:tcPr>
          <w:p w14:paraId="4F9B7A29">
            <w:pPr>
              <w:spacing w:line="480" w:lineRule="auto"/>
              <w:ind w:firstLine="0" w:firstLineChars="0"/>
              <w:jc w:val="center"/>
              <w:rPr>
                <w:rFonts w:hint="eastAsia"/>
                <w:sz w:val="21"/>
                <w:szCs w:val="21"/>
              </w:rPr>
            </w:pPr>
            <w:r>
              <w:rPr>
                <w:sz w:val="21"/>
                <w:szCs w:val="21"/>
              </w:rPr>
              <w:t>0.0236</w:t>
            </w:r>
          </w:p>
        </w:tc>
      </w:tr>
      <w:tr w14:paraId="79848971">
        <w:tc>
          <w:tcPr>
            <w:tcW w:w="1535" w:type="pct"/>
          </w:tcPr>
          <w:p w14:paraId="13668848">
            <w:pPr>
              <w:spacing w:line="480" w:lineRule="auto"/>
              <w:ind w:firstLine="0" w:firstLineChars="0"/>
              <w:rPr>
                <w:rFonts w:hint="eastAsia"/>
                <w:sz w:val="21"/>
                <w:szCs w:val="21"/>
              </w:rPr>
            </w:pPr>
            <w:r>
              <w:rPr>
                <w:sz w:val="21"/>
                <w:szCs w:val="21"/>
              </w:rPr>
              <w:t>preds_NN2_2</w:t>
            </w:r>
          </w:p>
        </w:tc>
        <w:tc>
          <w:tcPr>
            <w:tcW w:w="784" w:type="pct"/>
          </w:tcPr>
          <w:p w14:paraId="5F86EFAC">
            <w:pPr>
              <w:spacing w:line="480" w:lineRule="auto"/>
              <w:ind w:firstLine="0" w:firstLineChars="0"/>
              <w:jc w:val="center"/>
              <w:rPr>
                <w:rFonts w:hint="eastAsia"/>
                <w:sz w:val="21"/>
                <w:szCs w:val="21"/>
              </w:rPr>
            </w:pPr>
            <w:r>
              <w:rPr>
                <w:sz w:val="21"/>
                <w:szCs w:val="21"/>
              </w:rPr>
              <w:t>-0.0815</w:t>
            </w:r>
          </w:p>
        </w:tc>
        <w:tc>
          <w:tcPr>
            <w:tcW w:w="670" w:type="pct"/>
          </w:tcPr>
          <w:p w14:paraId="56A57831">
            <w:pPr>
              <w:spacing w:line="480" w:lineRule="auto"/>
              <w:ind w:firstLine="0" w:firstLineChars="0"/>
              <w:jc w:val="center"/>
              <w:rPr>
                <w:rFonts w:hint="eastAsia"/>
                <w:sz w:val="21"/>
                <w:szCs w:val="21"/>
              </w:rPr>
            </w:pPr>
            <w:r>
              <w:rPr>
                <w:sz w:val="21"/>
                <w:szCs w:val="21"/>
              </w:rPr>
              <w:t>-0.5046</w:t>
            </w:r>
          </w:p>
        </w:tc>
        <w:tc>
          <w:tcPr>
            <w:tcW w:w="670" w:type="pct"/>
          </w:tcPr>
          <w:p w14:paraId="2500E06C">
            <w:pPr>
              <w:spacing w:line="480" w:lineRule="auto"/>
              <w:ind w:firstLine="0" w:firstLineChars="0"/>
              <w:jc w:val="center"/>
              <w:rPr>
                <w:rFonts w:hint="eastAsia"/>
                <w:sz w:val="21"/>
                <w:szCs w:val="21"/>
              </w:rPr>
            </w:pPr>
            <w:r>
              <w:rPr>
                <w:sz w:val="21"/>
                <w:szCs w:val="21"/>
              </w:rPr>
              <w:t>0.5692</w:t>
            </w:r>
          </w:p>
        </w:tc>
        <w:tc>
          <w:tcPr>
            <w:tcW w:w="670" w:type="pct"/>
          </w:tcPr>
          <w:p w14:paraId="2DAE42F0">
            <w:pPr>
              <w:spacing w:line="480" w:lineRule="auto"/>
              <w:ind w:firstLine="0" w:firstLineChars="0"/>
              <w:jc w:val="center"/>
              <w:rPr>
                <w:rFonts w:hint="eastAsia"/>
                <w:sz w:val="21"/>
                <w:szCs w:val="21"/>
              </w:rPr>
            </w:pPr>
            <w:r>
              <w:rPr>
                <w:sz w:val="21"/>
                <w:szCs w:val="21"/>
              </w:rPr>
              <w:t>231425</w:t>
            </w:r>
          </w:p>
        </w:tc>
        <w:tc>
          <w:tcPr>
            <w:tcW w:w="670" w:type="pct"/>
          </w:tcPr>
          <w:p w14:paraId="114AB167">
            <w:pPr>
              <w:spacing w:line="480" w:lineRule="auto"/>
              <w:ind w:firstLine="0" w:firstLineChars="0"/>
              <w:jc w:val="center"/>
              <w:rPr>
                <w:rFonts w:hint="eastAsia"/>
                <w:sz w:val="21"/>
                <w:szCs w:val="21"/>
              </w:rPr>
            </w:pPr>
            <w:r>
              <w:rPr>
                <w:sz w:val="21"/>
                <w:szCs w:val="21"/>
              </w:rPr>
              <w:t>0.0203</w:t>
            </w:r>
          </w:p>
        </w:tc>
      </w:tr>
      <w:tr w14:paraId="1ABD773F">
        <w:tc>
          <w:tcPr>
            <w:tcW w:w="1535" w:type="pct"/>
          </w:tcPr>
          <w:p w14:paraId="6C99A9C3">
            <w:pPr>
              <w:spacing w:line="480" w:lineRule="auto"/>
              <w:ind w:firstLine="0" w:firstLineChars="0"/>
              <w:rPr>
                <w:rFonts w:hint="eastAsia"/>
                <w:sz w:val="21"/>
                <w:szCs w:val="21"/>
              </w:rPr>
            </w:pPr>
            <w:r>
              <w:rPr>
                <w:sz w:val="21"/>
                <w:szCs w:val="21"/>
              </w:rPr>
              <w:t>preds_NN2</w:t>
            </w:r>
          </w:p>
        </w:tc>
        <w:tc>
          <w:tcPr>
            <w:tcW w:w="784" w:type="pct"/>
          </w:tcPr>
          <w:p w14:paraId="5E128577">
            <w:pPr>
              <w:spacing w:line="480" w:lineRule="auto"/>
              <w:ind w:firstLine="0" w:firstLineChars="0"/>
              <w:jc w:val="center"/>
              <w:rPr>
                <w:rFonts w:hint="eastAsia"/>
                <w:sz w:val="21"/>
                <w:szCs w:val="21"/>
              </w:rPr>
            </w:pPr>
            <w:r>
              <w:rPr>
                <w:sz w:val="21"/>
                <w:szCs w:val="21"/>
              </w:rPr>
              <w:t>-0.1119</w:t>
            </w:r>
          </w:p>
        </w:tc>
        <w:tc>
          <w:tcPr>
            <w:tcW w:w="670" w:type="pct"/>
          </w:tcPr>
          <w:p w14:paraId="0797082A">
            <w:pPr>
              <w:spacing w:line="480" w:lineRule="auto"/>
              <w:ind w:firstLine="0" w:firstLineChars="0"/>
              <w:jc w:val="center"/>
              <w:rPr>
                <w:rFonts w:hint="eastAsia"/>
                <w:sz w:val="21"/>
                <w:szCs w:val="21"/>
              </w:rPr>
            </w:pPr>
            <w:r>
              <w:rPr>
                <w:sz w:val="21"/>
                <w:szCs w:val="21"/>
              </w:rPr>
              <w:t>-0.8303</w:t>
            </w:r>
          </w:p>
        </w:tc>
        <w:tc>
          <w:tcPr>
            <w:tcW w:w="670" w:type="pct"/>
          </w:tcPr>
          <w:p w14:paraId="4820F63E">
            <w:pPr>
              <w:spacing w:line="480" w:lineRule="auto"/>
              <w:ind w:firstLine="0" w:firstLineChars="0"/>
              <w:jc w:val="center"/>
              <w:rPr>
                <w:rFonts w:hint="eastAsia"/>
                <w:sz w:val="21"/>
                <w:szCs w:val="21"/>
              </w:rPr>
            </w:pPr>
            <w:r>
              <w:rPr>
                <w:sz w:val="21"/>
                <w:szCs w:val="21"/>
              </w:rPr>
              <w:t>0.6494</w:t>
            </w:r>
          </w:p>
        </w:tc>
        <w:tc>
          <w:tcPr>
            <w:tcW w:w="670" w:type="pct"/>
          </w:tcPr>
          <w:p w14:paraId="33939133">
            <w:pPr>
              <w:spacing w:line="480" w:lineRule="auto"/>
              <w:ind w:firstLine="0" w:firstLineChars="0"/>
              <w:jc w:val="center"/>
              <w:rPr>
                <w:rFonts w:hint="eastAsia"/>
                <w:sz w:val="21"/>
                <w:szCs w:val="21"/>
              </w:rPr>
            </w:pPr>
            <w:r>
              <w:rPr>
                <w:sz w:val="21"/>
                <w:szCs w:val="21"/>
              </w:rPr>
              <w:t>243238</w:t>
            </w:r>
          </w:p>
        </w:tc>
        <w:tc>
          <w:tcPr>
            <w:tcW w:w="670" w:type="pct"/>
          </w:tcPr>
          <w:p w14:paraId="3F3621DA">
            <w:pPr>
              <w:spacing w:line="480" w:lineRule="auto"/>
              <w:ind w:firstLine="0" w:firstLineChars="0"/>
              <w:jc w:val="center"/>
              <w:rPr>
                <w:rFonts w:hint="eastAsia"/>
                <w:sz w:val="21"/>
                <w:szCs w:val="21"/>
              </w:rPr>
            </w:pPr>
            <w:r>
              <w:rPr>
                <w:sz w:val="21"/>
                <w:szCs w:val="21"/>
              </w:rPr>
              <w:t>-0.0043</w:t>
            </w:r>
          </w:p>
        </w:tc>
      </w:tr>
    </w:tbl>
    <w:p w14:paraId="64012DBB">
      <w:pPr>
        <w:pStyle w:val="12"/>
        <w:keepNext w:val="0"/>
        <w:keepLines w:val="0"/>
        <w:pageBreakBefore w:val="0"/>
        <w:kinsoku/>
        <w:wordWrap/>
        <w:overflowPunct/>
        <w:topLinePunct w:val="0"/>
        <w:autoSpaceDE/>
        <w:autoSpaceDN/>
        <w:bidi w:val="0"/>
        <w:adjustRightInd/>
        <w:snapToGrid/>
        <w:spacing w:before="0" w:beforeAutospacing="0" w:after="0" w:afterAutospacing="0" w:line="480" w:lineRule="auto"/>
        <w:ind w:left="0" w:firstLine="480" w:firstLineChars="200"/>
        <w:jc w:val="both"/>
        <w:textAlignment w:val="auto"/>
        <w:rPr>
          <w:sz w:val="24"/>
          <w:szCs w:val="24"/>
        </w:rPr>
      </w:pPr>
      <w:r>
        <w:rPr>
          <w:sz w:val="24"/>
          <w:szCs w:val="24"/>
        </w:rPr>
        <w:t>在回测结果中可以观察到，XGBoost在年化收益率上优于LightGBM，尤其是在月频数据上表现更为明显，而在日频数据上二者的差距较小。这一现象可能反映了模型策略与数据特征之间的互动机制。XGBoost采用的是Level-wise分裂策略，相对而言在面对特征较复杂或噪音较大的数据时，其灵活性可能不足，导致拟合效果受限。而日频数据通常数据量大、因子较为有限，这种情形下模型对噪音的敏感性被进一步放大，从而使得XGBoost和LightGBM之间的差异不如月频数据上明显。</w:t>
      </w:r>
    </w:p>
    <w:p w14:paraId="1C444A9C">
      <w:pPr>
        <w:pStyle w:val="12"/>
        <w:keepNext w:val="0"/>
        <w:keepLines w:val="0"/>
        <w:pageBreakBefore w:val="0"/>
        <w:kinsoku/>
        <w:wordWrap/>
        <w:overflowPunct/>
        <w:topLinePunct w:val="0"/>
        <w:autoSpaceDE/>
        <w:autoSpaceDN/>
        <w:bidi w:val="0"/>
        <w:adjustRightInd/>
        <w:snapToGrid/>
        <w:spacing w:before="0" w:beforeAutospacing="0" w:after="0" w:afterAutospacing="0" w:line="480" w:lineRule="auto"/>
        <w:ind w:left="0" w:firstLine="480" w:firstLineChars="200"/>
        <w:jc w:val="both"/>
        <w:textAlignment w:val="auto"/>
        <w:rPr>
          <w:sz w:val="24"/>
          <w:szCs w:val="24"/>
        </w:rPr>
      </w:pPr>
      <w:r>
        <w:rPr>
          <w:sz w:val="24"/>
          <w:szCs w:val="24"/>
        </w:rPr>
        <w:t>另外，回测结果显示，所有基于梯度下降方法的模型表现均不理想，这与树模型、</w:t>
      </w:r>
      <w:r>
        <w:rPr>
          <w:rFonts w:hint="eastAsia"/>
          <w:sz w:val="24"/>
          <w:szCs w:val="24"/>
          <w:lang w:val="en-US" w:eastAsia="zh-CN"/>
        </w:rPr>
        <w:t>以及</w:t>
      </w:r>
      <w:r>
        <w:rPr>
          <w:sz w:val="24"/>
          <w:szCs w:val="24"/>
        </w:rPr>
        <w:t>OLS等</w:t>
      </w:r>
      <w:r>
        <w:rPr>
          <w:rFonts w:hint="eastAsia"/>
          <w:sz w:val="24"/>
          <w:szCs w:val="24"/>
          <w:lang w:val="en-US" w:eastAsia="zh-CN"/>
        </w:rPr>
        <w:t>线性</w:t>
      </w:r>
      <w:r>
        <w:rPr>
          <w:sz w:val="24"/>
          <w:szCs w:val="24"/>
        </w:rPr>
        <w:t>模型使用的损失函数计算和参数更新方式形成了鲜明对比。传统方法通常采用闭式解或坐标下降等方式，更新过程较为稳定，而梯度下降法则依赖于全局损失函数的梯度信息。在噪音较多且特征复杂的数据环境中，梯度下降法容易陷入鞍点、平坦区甚至遭遇梯度爆炸问题，导致参数更新不稳定，最终使得模型难以捕捉到数据中的有效信号。</w:t>
      </w:r>
    </w:p>
    <w:p w14:paraId="43BC4BA3">
      <w:pPr>
        <w:pStyle w:val="12"/>
        <w:keepNext w:val="0"/>
        <w:keepLines w:val="0"/>
        <w:pageBreakBefore w:val="0"/>
        <w:kinsoku/>
        <w:wordWrap/>
        <w:overflowPunct/>
        <w:topLinePunct w:val="0"/>
        <w:autoSpaceDE/>
        <w:autoSpaceDN/>
        <w:bidi w:val="0"/>
        <w:adjustRightInd/>
        <w:snapToGrid/>
        <w:spacing w:before="0" w:beforeAutospacing="0" w:after="0" w:afterAutospacing="0" w:line="480" w:lineRule="auto"/>
        <w:ind w:left="0" w:firstLine="480" w:firstLineChars="200"/>
        <w:jc w:val="both"/>
        <w:textAlignment w:val="auto"/>
        <w:rPr>
          <w:sz w:val="24"/>
          <w:szCs w:val="24"/>
        </w:rPr>
      </w:pPr>
      <w:r>
        <w:rPr>
          <w:sz w:val="24"/>
          <w:szCs w:val="24"/>
        </w:rPr>
        <w:t>具体来说，A股日频数据通常具有较高的复杂度和噪音水平，</w:t>
      </w:r>
      <w:r>
        <w:rPr>
          <w:rFonts w:hint="eastAsia"/>
          <w:sz w:val="24"/>
          <w:szCs w:val="24"/>
        </w:rPr>
        <w:t>通常</w:t>
      </w:r>
      <w:r>
        <w:rPr>
          <w:sz w:val="24"/>
          <w:szCs w:val="24"/>
        </w:rPr>
        <w:t>包含大量微观波动和异常值，这使得基于梯度下降的模型在训练时更容易出现局部最优或梯度不稳定的情况</w:t>
      </w:r>
      <w:r>
        <w:rPr>
          <w:rFonts w:hint="eastAsia"/>
          <w:sz w:val="24"/>
          <w:szCs w:val="24"/>
        </w:rPr>
        <w:t>，正如在上文提及的全连接网络的训练过程中，不同时段的股票数据就曾分别出现了梯度消失或梯度爆炸等问题，进而导致了模型的优化瓶颈。</w:t>
      </w:r>
      <w:r>
        <w:rPr>
          <w:sz w:val="24"/>
          <w:szCs w:val="24"/>
        </w:rPr>
        <w:t>而月频数据由于数据聚合效应，相对平滑，噪音减少，因此梯度下降法在月频数据上表现较为稳定，拟合效果也相对更好。</w:t>
      </w:r>
    </w:p>
    <w:p w14:paraId="02EEF6D3">
      <w:pPr>
        <w:pStyle w:val="12"/>
        <w:keepNext w:val="0"/>
        <w:keepLines w:val="0"/>
        <w:pageBreakBefore w:val="0"/>
        <w:kinsoku/>
        <w:wordWrap/>
        <w:overflowPunct/>
        <w:topLinePunct w:val="0"/>
        <w:autoSpaceDE/>
        <w:autoSpaceDN/>
        <w:bidi w:val="0"/>
        <w:adjustRightInd/>
        <w:snapToGrid/>
        <w:spacing w:before="0" w:beforeAutospacing="0" w:after="0" w:afterAutospacing="0" w:line="480" w:lineRule="auto"/>
        <w:ind w:left="0" w:firstLine="480" w:firstLineChars="200"/>
        <w:jc w:val="both"/>
        <w:textAlignment w:val="auto"/>
        <w:rPr>
          <w:sz w:val="24"/>
          <w:szCs w:val="24"/>
        </w:rPr>
      </w:pPr>
      <w:r>
        <w:rPr>
          <w:rFonts w:hint="eastAsia"/>
          <w:sz w:val="24"/>
          <w:szCs w:val="24"/>
        </w:rPr>
        <w:t>值得一提的是，这并非典型过拟合或典型欠拟合，前者反映的是训练阶段表现出色但测试集拉垮，后者是训练和测试阶段都表现不佳，而本组神经网络训练时更多是遇到Loss卡住无法下降，或是梯度剧烈波动，遇到了较显著的优化问题，或反映出较为复杂的数据特征现象。结合以上</w:t>
      </w:r>
      <w:r>
        <w:rPr>
          <w:sz w:val="24"/>
          <w:szCs w:val="24"/>
        </w:rPr>
        <w:t>现象</w:t>
      </w:r>
      <w:r>
        <w:rPr>
          <w:rFonts w:hint="eastAsia"/>
          <w:sz w:val="24"/>
          <w:szCs w:val="24"/>
        </w:rPr>
        <w:t>，可知</w:t>
      </w:r>
      <w:r>
        <w:rPr>
          <w:sz w:val="24"/>
          <w:szCs w:val="24"/>
        </w:rPr>
        <w:t>在数据特征较复杂、噪音较多的情况下，梯度下降法更容易受到局部极值和梯度爆炸的影响，进而影响模型的整体表现；而数据较平滑时，这些问题可以得到一定缓解。</w:t>
      </w:r>
    </w:p>
    <w:p w14:paraId="71F55F8C">
      <w:pPr>
        <w:pStyle w:val="12"/>
        <w:keepNext w:val="0"/>
        <w:keepLines w:val="0"/>
        <w:pageBreakBefore w:val="0"/>
        <w:kinsoku/>
        <w:wordWrap/>
        <w:overflowPunct/>
        <w:topLinePunct w:val="0"/>
        <w:autoSpaceDE/>
        <w:autoSpaceDN/>
        <w:bidi w:val="0"/>
        <w:adjustRightInd/>
        <w:snapToGrid/>
        <w:spacing w:before="0" w:beforeAutospacing="0" w:after="0" w:afterAutospacing="0" w:line="480" w:lineRule="auto"/>
        <w:ind w:left="0" w:firstLine="480" w:firstLineChars="200"/>
        <w:jc w:val="both"/>
        <w:textAlignment w:val="auto"/>
        <w:rPr>
          <w:rFonts w:hint="eastAsia" w:ascii="宋体" w:hAnsi="宋体" w:eastAsia="宋体" w:cs="宋体"/>
          <w:sz w:val="24"/>
          <w:szCs w:val="24"/>
          <w:lang w:val="en-US" w:eastAsia="zh-CN"/>
        </w:rPr>
      </w:pPr>
      <w:r>
        <w:rPr>
          <w:sz w:val="24"/>
          <w:szCs w:val="24"/>
        </w:rPr>
        <w:t>从更深层次看，这也反映出一个因子问题：即现有因子可能无法充分解释日频数据中的所有变动，使得模型在追求精细拟合时更易拟合噪音。而月频数据由于平滑处理减少了噪音，因子解释力相对更高，使得梯度下降法的劣势不那么明显。总体而言，其他模型（如树模型、随机森林、OLS）表现正常，进一步印证了数据特征和噪音水平对基于梯度下降方法的模型训练具有较大影响。在这种情形下，传统模型由于其较为稳健的参数更新策略，能更好地抵御数据中的噪音和复杂性，而梯度下降法则需要更加精细的调参和更高质量的因子才能发挥其优势。</w:t>
      </w:r>
    </w:p>
    <w:p w14:paraId="7765F8C9">
      <w:pPr>
        <w:keepNext w:val="0"/>
        <w:keepLines w:val="0"/>
        <w:pageBreakBefore w:val="0"/>
        <w:widowControl w:val="0"/>
        <w:numPr>
          <w:ilvl w:val="0"/>
          <w:numId w:val="4"/>
        </w:numPr>
        <w:kinsoku/>
        <w:wordWrap/>
        <w:overflowPunct/>
        <w:topLinePunct w:val="0"/>
        <w:autoSpaceDE/>
        <w:autoSpaceDN/>
        <w:bidi w:val="0"/>
        <w:adjustRightInd/>
        <w:snapToGrid/>
        <w:spacing w:line="480" w:lineRule="auto"/>
        <w:ind w:left="-420" w:leftChars="0" w:firstLine="420" w:firstLineChars="0"/>
        <w:textAlignment w:val="auto"/>
        <w:outlineLvl w:val="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因子重要性</w:t>
      </w:r>
    </w:p>
    <w:p w14:paraId="77038160">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本小组还研究了单个因子对于每个模型性能的相对重要性（E</w:t>
      </w:r>
      <w:r>
        <w:rPr>
          <w:rFonts w:hint="default" w:ascii="宋体" w:hAnsi="宋体" w:eastAsia="宋体" w:cs="宋体"/>
          <w:sz w:val="24"/>
          <w:szCs w:val="24"/>
          <w:lang w:val="en-US" w:eastAsia="zh-CN"/>
        </w:rPr>
        <w:t>NET</w:t>
      </w:r>
      <w:r>
        <w:rPr>
          <w:rFonts w:hint="eastAsia" w:ascii="宋体" w:hAnsi="宋体" w:eastAsia="宋体" w:cs="宋体"/>
          <w:sz w:val="24"/>
          <w:szCs w:val="24"/>
          <w:lang w:val="en-US" w:eastAsia="zh-CN"/>
        </w:rPr>
        <w:t>、NN模型由于拟合效果欠佳，导致因子对模型的贡献均不显著），最终的结果如</w:t>
      </w:r>
      <w:r>
        <w:rPr>
          <w:rFonts w:hint="eastAsia" w:ascii="宋体" w:hAnsi="宋体" w:cs="宋体"/>
          <w:sz w:val="24"/>
          <w:szCs w:val="24"/>
          <w:lang w:val="en-US" w:eastAsia="zh-CN"/>
        </w:rPr>
        <w:t>下图</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本小组</w:t>
      </w:r>
      <w:r>
        <w:rPr>
          <w:rFonts w:hint="eastAsia" w:ascii="宋体" w:hAnsi="宋体" w:eastAsia="宋体" w:cs="宋体"/>
          <w:sz w:val="24"/>
          <w:szCs w:val="24"/>
          <w:lang w:val="en-US" w:eastAsia="zh-CN"/>
        </w:rPr>
        <w:t>对单个因子在不同模型中的平均重要性进行排序，顶部为对所有模型均相对重要的因子，底部为对所有模型均相对不重要的因子，因子重要性越高，颜色越深。</w:t>
      </w:r>
    </w:p>
    <w:p w14:paraId="176D7FB0">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783965" cy="7200265"/>
            <wp:effectExtent l="0" t="0" r="63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3783965" cy="7200265"/>
                    </a:xfrm>
                    <a:prstGeom prst="rect">
                      <a:avLst/>
                    </a:prstGeom>
                    <a:noFill/>
                    <a:ln>
                      <a:noFill/>
                    </a:ln>
                  </pic:spPr>
                </pic:pic>
              </a:graphicData>
            </a:graphic>
          </wp:inline>
        </w:drawing>
      </w:r>
    </w:p>
    <w:p w14:paraId="44D34883">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结果可以看出，不同的因子在不同模型中的相对重要性存在差异，比如对于beta因子，beta在OLS模型中的重要性显著高于其他模型。这可能是因为OLS是一个纯线性模型，能够直接捕捉beta与目标变量之间的线性关系。而在LGBM、XGB等非线性模型中，beta的重要性较低，可能是因为这些模型更擅长捕捉复杂的非线性关系，beta的线性贡献被其他非线性效应所稀释。这种不同模型间的不一致性也与Gu等的结论相冲突，可能是由于数据样本或因子定义的差异所致。此外，目标变量的特性或模型复杂度也可能影响了因子重要性的评估。未来的研究可以通过统一数据样本和因子定义，进一步验证这些差异的原因。</w:t>
      </w:r>
    </w:p>
    <w:p w14:paraId="2D3BB45C">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line="480" w:lineRule="auto"/>
        <w:ind w:left="-420" w:leftChars="0" w:firstLine="420" w:firstLineChars="0"/>
        <w:jc w:val="both"/>
        <w:textAlignment w:val="auto"/>
        <w:outlineLvl w:val="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总结与思考</w:t>
      </w:r>
    </w:p>
    <w:p w14:paraId="1AD22A6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本小组</w:t>
      </w:r>
      <w:r>
        <w:rPr>
          <w:rFonts w:hint="default" w:ascii="宋体" w:hAnsi="宋体" w:eastAsia="宋体" w:cs="宋体"/>
          <w:sz w:val="24"/>
          <w:szCs w:val="24"/>
          <w:lang w:val="en-US" w:eastAsia="zh-CN"/>
        </w:rPr>
        <w:t>以A股市场为研究对象，构建了多因子量化策略，并通过多种机器学习模型进行收益预测与回测验证。因子构建中，</w:t>
      </w:r>
      <w:r>
        <w:rPr>
          <w:rFonts w:hint="eastAsia" w:ascii="宋体" w:hAnsi="宋体" w:cs="宋体"/>
          <w:sz w:val="24"/>
          <w:szCs w:val="24"/>
          <w:lang w:val="en-US" w:eastAsia="zh-CN"/>
        </w:rPr>
        <w:t>本小组</w:t>
      </w:r>
      <w:r>
        <w:rPr>
          <w:rFonts w:hint="default" w:ascii="宋体" w:hAnsi="宋体" w:eastAsia="宋体" w:cs="宋体"/>
          <w:sz w:val="24"/>
          <w:szCs w:val="24"/>
          <w:lang w:val="en-US" w:eastAsia="zh-CN"/>
        </w:rPr>
        <w:t>除传统的量价、基本面因子外，还创新性地引入多种另类因子，捕捉市场动态与事件影响；模型方面，采用XGBoost和LightGBM提升训练效率，并通过正则化与随机采样抑制过拟合。神经网络优化中，引入LeakyReLU和AdamW缓解梯度问题，Transformer则通过自注意力机制捕捉因子间的全局依赖关系。回测结果显示，XGBoost在月频数据上表现最优，而神经网络在日频数据中受噪声影响较大。因子重要性分析表明，不同模型对因子的依赖程度存在显著差异，线性模型更依赖传统因子，而非线性模型通过复杂交互稀释单一因子贡献。本次实践深化了对量化投资系统化方法的理解，未来可进一步探索前沿技术与更高频数据的结合，提升策略的预测能力与稳定性。</w:t>
      </w:r>
    </w:p>
    <w:sectPr>
      <w:pgSz w:w="11906" w:h="16838"/>
      <w:pgMar w:top="1440" w:right="1440" w:bottom="1440" w:left="144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DejaVu Math TeX Gyre">
    <w:panose1 w:val="02000503000000000000"/>
    <w:charset w:val="00"/>
    <w:family w:val="auto"/>
    <w:pitch w:val="default"/>
    <w:sig w:usb0="A10000EF" w:usb1="4201F9EE" w:usb2="02000000" w:usb3="00000000" w:csb0="60000193" w:csb1="0DD4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等线 Light">
    <w:altName w:val="汉仪中等线KW"/>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5EDAFD"/>
    <w:multiLevelType w:val="singleLevel"/>
    <w:tmpl w:val="BE5EDAFD"/>
    <w:lvl w:ilvl="0" w:tentative="0">
      <w:start w:val="1"/>
      <w:numFmt w:val="decimal"/>
      <w:suff w:val="space"/>
      <w:lvlText w:val="%1."/>
      <w:lvlJc w:val="left"/>
    </w:lvl>
  </w:abstractNum>
  <w:abstractNum w:abstractNumId="1">
    <w:nsid w:val="BEFC0BE4"/>
    <w:multiLevelType w:val="singleLevel"/>
    <w:tmpl w:val="BEFC0BE4"/>
    <w:lvl w:ilvl="0" w:tentative="0">
      <w:start w:val="1"/>
      <w:numFmt w:val="decimal"/>
      <w:suff w:val="space"/>
      <w:lvlText w:val="%1."/>
      <w:lvlJc w:val="left"/>
    </w:lvl>
  </w:abstractNum>
  <w:abstractNum w:abstractNumId="2">
    <w:nsid w:val="BFAD8CEC"/>
    <w:multiLevelType w:val="singleLevel"/>
    <w:tmpl w:val="BFAD8CEC"/>
    <w:lvl w:ilvl="0" w:tentative="0">
      <w:start w:val="1"/>
      <w:numFmt w:val="decimal"/>
      <w:suff w:val="space"/>
      <w:lvlText w:val="%1."/>
      <w:lvlJc w:val="left"/>
    </w:lvl>
  </w:abstractNum>
  <w:abstractNum w:abstractNumId="3">
    <w:nsid w:val="DBB931B2"/>
    <w:multiLevelType w:val="singleLevel"/>
    <w:tmpl w:val="DBB931B2"/>
    <w:lvl w:ilvl="0" w:tentative="0">
      <w:start w:val="1"/>
      <w:numFmt w:val="decimal"/>
      <w:suff w:val="space"/>
      <w:lvlText w:val="%1."/>
      <w:lvlJc w:val="left"/>
    </w:lvl>
  </w:abstractNum>
  <w:abstractNum w:abstractNumId="4">
    <w:nsid w:val="FDFDBCD6"/>
    <w:multiLevelType w:val="multilevel"/>
    <w:tmpl w:val="FDFDBCD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FF0BB701"/>
    <w:multiLevelType w:val="singleLevel"/>
    <w:tmpl w:val="FF0BB701"/>
    <w:lvl w:ilvl="0" w:tentative="0">
      <w:start w:val="1"/>
      <w:numFmt w:val="decimal"/>
      <w:suff w:val="space"/>
      <w:lvlText w:val="%1."/>
      <w:lvlJc w:val="left"/>
    </w:lvl>
  </w:abstractNum>
  <w:abstractNum w:abstractNumId="6">
    <w:nsid w:val="FFF6EE03"/>
    <w:multiLevelType w:val="singleLevel"/>
    <w:tmpl w:val="FFF6EE03"/>
    <w:lvl w:ilvl="0" w:tentative="0">
      <w:start w:val="1"/>
      <w:numFmt w:val="chineseCounting"/>
      <w:suff w:val="nothing"/>
      <w:lvlText w:val="%1、"/>
      <w:lvlJc w:val="left"/>
      <w:pPr>
        <w:ind w:left="-1340"/>
      </w:pPr>
      <w:rPr>
        <w:rFonts w:hint="eastAsia"/>
      </w:rPr>
    </w:lvl>
  </w:abstractNum>
  <w:abstractNum w:abstractNumId="7">
    <w:nsid w:val="47F66A95"/>
    <w:multiLevelType w:val="multilevel"/>
    <w:tmpl w:val="47F66A95"/>
    <w:lvl w:ilvl="0" w:tentative="0">
      <w:start w:val="1"/>
      <w:numFmt w:val="decimal"/>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8">
    <w:nsid w:val="6FD20012"/>
    <w:multiLevelType w:val="singleLevel"/>
    <w:tmpl w:val="6FD20012"/>
    <w:lvl w:ilvl="0" w:tentative="0">
      <w:start w:val="1"/>
      <w:numFmt w:val="decimal"/>
      <w:suff w:val="space"/>
      <w:lvlText w:val="%1."/>
      <w:lvlJc w:val="left"/>
    </w:lvl>
  </w:abstractNum>
  <w:abstractNum w:abstractNumId="9">
    <w:nsid w:val="72B6789E"/>
    <w:multiLevelType w:val="multilevel"/>
    <w:tmpl w:val="72B6789E"/>
    <w:lvl w:ilvl="0" w:tentative="0">
      <w:start w:val="1"/>
      <w:numFmt w:val="decimal"/>
      <w:pStyle w:val="22"/>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0"/>
  </w:num>
  <w:num w:numId="2">
    <w:abstractNumId w:val="7"/>
  </w:num>
  <w:num w:numId="3">
    <w:abstractNumId w:val="9"/>
  </w:num>
  <w:num w:numId="4">
    <w:abstractNumId w:val="6"/>
  </w:num>
  <w:num w:numId="5">
    <w:abstractNumId w:val="5"/>
  </w:num>
  <w:num w:numId="6">
    <w:abstractNumId w:val="3"/>
  </w:num>
  <w:num w:numId="7">
    <w:abstractNumId w:val="4"/>
  </w:num>
  <w:num w:numId="8">
    <w:abstractNumId w:val="8"/>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9"/>
  <w:bordersDoNotSurroundHeader w:val="1"/>
  <w:bordersDoNotSurroundFooter w:val="1"/>
  <w:stylePaneFormatFilter w:val="1128" w:allStyles="0" w:customStyles="0" w:latentStyles="0" w:stylesInUse="1" w:headingStyles="1" w:numberingStyles="0" w:tableStyles="0" w:directFormattingOnRuns="1"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A35"/>
    <w:rsid w:val="00042D2B"/>
    <w:rsid w:val="00057835"/>
    <w:rsid w:val="000A6F4A"/>
    <w:rsid w:val="000C0693"/>
    <w:rsid w:val="000D18B9"/>
    <w:rsid w:val="000D389C"/>
    <w:rsid w:val="00233034"/>
    <w:rsid w:val="002570D2"/>
    <w:rsid w:val="002B6132"/>
    <w:rsid w:val="0035005A"/>
    <w:rsid w:val="00432A9F"/>
    <w:rsid w:val="00487BC0"/>
    <w:rsid w:val="0051046C"/>
    <w:rsid w:val="006B5A35"/>
    <w:rsid w:val="0072631D"/>
    <w:rsid w:val="008250AE"/>
    <w:rsid w:val="00893317"/>
    <w:rsid w:val="008A61FD"/>
    <w:rsid w:val="008E6109"/>
    <w:rsid w:val="00906940"/>
    <w:rsid w:val="009164EC"/>
    <w:rsid w:val="00A6066B"/>
    <w:rsid w:val="00A80B3C"/>
    <w:rsid w:val="00AB704A"/>
    <w:rsid w:val="00B36BF0"/>
    <w:rsid w:val="00BA4365"/>
    <w:rsid w:val="00BE0C7D"/>
    <w:rsid w:val="00BE44CD"/>
    <w:rsid w:val="00BF5013"/>
    <w:rsid w:val="00C72932"/>
    <w:rsid w:val="00D806EE"/>
    <w:rsid w:val="00E73658"/>
    <w:rsid w:val="00EA4760"/>
    <w:rsid w:val="00EF61E2"/>
    <w:rsid w:val="00F16974"/>
    <w:rsid w:val="0E6E36F1"/>
    <w:rsid w:val="17D58547"/>
    <w:rsid w:val="17FCA1BB"/>
    <w:rsid w:val="37FF1E5B"/>
    <w:rsid w:val="3F978408"/>
    <w:rsid w:val="553B4E7E"/>
    <w:rsid w:val="55FB0F7E"/>
    <w:rsid w:val="5B7B9F9E"/>
    <w:rsid w:val="5F7E2E8C"/>
    <w:rsid w:val="6EFF1C32"/>
    <w:rsid w:val="735C98CA"/>
    <w:rsid w:val="766D4AF8"/>
    <w:rsid w:val="7E6E6AB3"/>
    <w:rsid w:val="7FB52FF1"/>
    <w:rsid w:val="7FF35B9B"/>
    <w:rsid w:val="7FFD5603"/>
    <w:rsid w:val="8F7B3871"/>
    <w:rsid w:val="D3FF2613"/>
    <w:rsid w:val="DBF9EB9E"/>
    <w:rsid w:val="E6AF2AB7"/>
    <w:rsid w:val="EFBBC8B1"/>
    <w:rsid w:val="FF719CAB"/>
    <w:rsid w:val="FF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1"/>
    <w:qFormat/>
    <w:uiPriority w:val="9"/>
    <w:pPr>
      <w:keepNext/>
      <w:keepLines/>
      <w:numPr>
        <w:ilvl w:val="0"/>
        <w:numId w:val="1"/>
      </w:numPr>
      <w:spacing w:before="120" w:after="120"/>
      <w:ind w:firstLine="0" w:firstLineChars="0"/>
      <w:jc w:val="center"/>
      <w:outlineLvl w:val="0"/>
    </w:pPr>
    <w:rPr>
      <w:rFonts w:eastAsia="黑体"/>
      <w:bCs/>
      <w:kern w:val="44"/>
      <w:sz w:val="28"/>
      <w:szCs w:val="44"/>
    </w:rPr>
  </w:style>
  <w:style w:type="paragraph" w:styleId="3">
    <w:name w:val="heading 2"/>
    <w:basedOn w:val="1"/>
    <w:next w:val="1"/>
    <w:link w:val="18"/>
    <w:unhideWhenUsed/>
    <w:qFormat/>
    <w:uiPriority w:val="9"/>
    <w:pPr>
      <w:keepNext/>
      <w:keepLines/>
      <w:numPr>
        <w:ilvl w:val="1"/>
        <w:numId w:val="1"/>
      </w:numPr>
      <w:spacing w:after="50" w:afterLines="50"/>
      <w:ind w:firstLine="0" w:firstLineChars="0"/>
      <w:jc w:val="left"/>
      <w:outlineLvl w:val="1"/>
    </w:pPr>
    <w:rPr>
      <w:rFonts w:eastAsia="黑体" w:cstheme="majorBidi"/>
      <w:bCs/>
      <w:szCs w:val="32"/>
    </w:rPr>
  </w:style>
  <w:style w:type="paragraph" w:styleId="4">
    <w:name w:val="heading 3"/>
    <w:basedOn w:val="1"/>
    <w:next w:val="1"/>
    <w:link w:val="20"/>
    <w:unhideWhenUsed/>
    <w:qFormat/>
    <w:uiPriority w:val="9"/>
    <w:pPr>
      <w:keepNext/>
      <w:keepLines/>
      <w:numPr>
        <w:ilvl w:val="2"/>
        <w:numId w:val="2"/>
      </w:numPr>
      <w:ind w:firstLine="0" w:firstLineChars="0"/>
      <w:jc w:val="left"/>
      <w:outlineLvl w:val="2"/>
    </w:pPr>
    <w:rPr>
      <w:rFonts w:eastAsia="黑体"/>
      <w:bCs/>
      <w:szCs w:val="32"/>
    </w:rPr>
  </w:style>
  <w:style w:type="paragraph" w:styleId="5">
    <w:name w:val="heading 4"/>
    <w:basedOn w:val="1"/>
    <w:next w:val="1"/>
    <w:link w:val="33"/>
    <w:semiHidden/>
    <w:unhideWhenUsed/>
    <w:qFormat/>
    <w:uiPriority w:val="9"/>
    <w:pPr>
      <w:keepNext/>
      <w:keepLines/>
      <w:spacing w:before="80" w:after="40"/>
      <w:outlineLvl w:val="3"/>
    </w:pPr>
    <w:rPr>
      <w:rFonts w:asciiTheme="minorHAnsi" w:hAnsiTheme="minorHAnsi" w:eastAsiaTheme="minorEastAsia" w:cstheme="majorBidi"/>
      <w:color w:val="104862" w:themeColor="accent1" w:themeShade="BF"/>
      <w:sz w:val="28"/>
      <w:szCs w:val="28"/>
    </w:rPr>
  </w:style>
  <w:style w:type="paragraph" w:styleId="6">
    <w:name w:val="heading 5"/>
    <w:basedOn w:val="1"/>
    <w:next w:val="1"/>
    <w:link w:val="34"/>
    <w:semiHidden/>
    <w:unhideWhenUsed/>
    <w:qFormat/>
    <w:uiPriority w:val="9"/>
    <w:pPr>
      <w:keepNext/>
      <w:keepLines/>
      <w:spacing w:before="80" w:after="40"/>
      <w:outlineLvl w:val="4"/>
    </w:pPr>
    <w:rPr>
      <w:rFonts w:asciiTheme="minorHAnsi" w:hAnsiTheme="minorHAnsi" w:eastAsiaTheme="minorEastAsia" w:cstheme="majorBidi"/>
      <w:color w:val="104862" w:themeColor="accent1" w:themeShade="BF"/>
      <w:szCs w:val="24"/>
    </w:rPr>
  </w:style>
  <w:style w:type="paragraph" w:styleId="7">
    <w:name w:val="heading 6"/>
    <w:basedOn w:val="1"/>
    <w:next w:val="1"/>
    <w:link w:val="35"/>
    <w:semiHidden/>
    <w:unhideWhenUsed/>
    <w:qFormat/>
    <w:uiPriority w:val="9"/>
    <w:pPr>
      <w:keepNext/>
      <w:keepLines/>
      <w:spacing w:before="40"/>
      <w:outlineLvl w:val="5"/>
    </w:pPr>
    <w:rPr>
      <w:rFonts w:asciiTheme="minorHAnsi" w:hAnsiTheme="minorHAnsi" w:eastAsiaTheme="minorEastAsia" w:cstheme="majorBidi"/>
      <w:b/>
      <w:bCs/>
      <w:color w:val="104862" w:themeColor="accent1" w:themeShade="BF"/>
    </w:rPr>
  </w:style>
  <w:style w:type="paragraph" w:styleId="8">
    <w:name w:val="heading 7"/>
    <w:basedOn w:val="1"/>
    <w:next w:val="1"/>
    <w:link w:val="36"/>
    <w:semiHidden/>
    <w:unhideWhenUsed/>
    <w:qFormat/>
    <w:uiPriority w:val="9"/>
    <w:pPr>
      <w:keepNext/>
      <w:keepLines/>
      <w:spacing w:before="40"/>
      <w:outlineLvl w:val="6"/>
    </w:pPr>
    <w:rPr>
      <w:rFonts w:asciiTheme="minorHAnsi" w:hAnsiTheme="minorHAnsi" w:eastAsiaTheme="minorEastAsia"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7"/>
    <w:semiHidden/>
    <w:unhideWhenUsed/>
    <w:qFormat/>
    <w:uiPriority w:val="9"/>
    <w:pPr>
      <w:keepNext/>
      <w:keepLines/>
      <w:outlineLvl w:val="7"/>
    </w:pPr>
    <w:rPr>
      <w:rFonts w:asciiTheme="minorHAnsi" w:hAnsiTheme="minorHAnsi" w:eastAsiaTheme="minorEastAsia"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8"/>
    <w:semiHidden/>
    <w:unhideWhenUsed/>
    <w:qFormat/>
    <w:uiPriority w:val="9"/>
    <w:pPr>
      <w:keepNext/>
      <w:keepLines/>
      <w:outlineLvl w:val="8"/>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11">
    <w:name w:val="Subtitle"/>
    <w:basedOn w:val="1"/>
    <w:next w:val="1"/>
    <w:link w:val="39"/>
    <w:qFormat/>
    <w:uiPriority w:val="11"/>
    <w:pPr>
      <w:spacing w:after="160"/>
      <w:ind w:firstLine="200" w:firstLineChars="20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link w:val="24"/>
    <w:qFormat/>
    <w:uiPriority w:val="10"/>
    <w:pPr>
      <w:spacing w:before="240" w:after="60"/>
      <w:jc w:val="center"/>
      <w:outlineLvl w:val="0"/>
    </w:pPr>
    <w:rPr>
      <w:rFonts w:cstheme="majorBidi"/>
      <w:b/>
      <w:bCs/>
      <w:sz w:val="32"/>
      <w:szCs w:val="32"/>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uiPriority w:val="0"/>
  </w:style>
  <w:style w:type="character" w:customStyle="1" w:styleId="18">
    <w:name w:val="标题 2 字符"/>
    <w:basedOn w:val="16"/>
    <w:link w:val="3"/>
    <w:uiPriority w:val="9"/>
    <w:rPr>
      <w:rFonts w:ascii="Times New Roman" w:hAnsi="Times New Roman" w:eastAsia="黑体" w:cstheme="majorBidi"/>
      <w:bCs/>
      <w:sz w:val="24"/>
      <w:szCs w:val="32"/>
    </w:rPr>
  </w:style>
  <w:style w:type="paragraph" w:styleId="19">
    <w:name w:val="No Spacing"/>
    <w:qFormat/>
    <w:uiPriority w:val="1"/>
    <w:pPr>
      <w:widowControl w:val="0"/>
      <w:spacing w:after="50" w:afterLines="50"/>
      <w:ind w:firstLine="200" w:firstLineChars="200"/>
      <w:jc w:val="both"/>
    </w:pPr>
    <w:rPr>
      <w:rFonts w:ascii="Times New Roman" w:hAnsi="Times New Roman" w:eastAsia="楷体" w:cstheme="minorBidi"/>
      <w:kern w:val="2"/>
      <w:sz w:val="28"/>
      <w:szCs w:val="22"/>
      <w:lang w:val="en-US" w:eastAsia="zh-CN" w:bidi="ar-SA"/>
    </w:rPr>
  </w:style>
  <w:style w:type="character" w:customStyle="1" w:styleId="20">
    <w:name w:val="标题 3 字符"/>
    <w:basedOn w:val="16"/>
    <w:link w:val="4"/>
    <w:uiPriority w:val="9"/>
    <w:rPr>
      <w:rFonts w:ascii="Times New Roman" w:hAnsi="Times New Roman" w:eastAsia="黑体"/>
      <w:bCs/>
      <w:sz w:val="24"/>
      <w:szCs w:val="32"/>
    </w:rPr>
  </w:style>
  <w:style w:type="character" w:customStyle="1" w:styleId="21">
    <w:name w:val="标题 1 字符"/>
    <w:basedOn w:val="16"/>
    <w:link w:val="2"/>
    <w:uiPriority w:val="9"/>
    <w:rPr>
      <w:rFonts w:ascii="Times New Roman" w:hAnsi="Times New Roman" w:eastAsia="黑体"/>
      <w:bCs/>
      <w:kern w:val="44"/>
      <w:sz w:val="28"/>
      <w:szCs w:val="44"/>
    </w:rPr>
  </w:style>
  <w:style w:type="paragraph" w:customStyle="1" w:styleId="22">
    <w:name w:val="参考文献银星杯"/>
    <w:basedOn w:val="1"/>
    <w:link w:val="23"/>
    <w:qFormat/>
    <w:uiPriority w:val="0"/>
    <w:pPr>
      <w:numPr>
        <w:ilvl w:val="0"/>
        <w:numId w:val="3"/>
      </w:numPr>
      <w:ind w:firstLine="0"/>
      <w:jc w:val="left"/>
    </w:pPr>
    <w:rPr>
      <w:sz w:val="18"/>
      <w:szCs w:val="18"/>
    </w:rPr>
  </w:style>
  <w:style w:type="character" w:customStyle="1" w:styleId="23">
    <w:name w:val="参考文献银星杯 字符"/>
    <w:basedOn w:val="16"/>
    <w:link w:val="22"/>
    <w:qFormat/>
    <w:uiPriority w:val="0"/>
    <w:rPr>
      <w:rFonts w:ascii="Times New Roman" w:hAnsi="Times New Roman" w:eastAsia="宋体"/>
      <w:sz w:val="18"/>
      <w:szCs w:val="18"/>
    </w:rPr>
  </w:style>
  <w:style w:type="character" w:customStyle="1" w:styleId="24">
    <w:name w:val="标题 字符"/>
    <w:basedOn w:val="16"/>
    <w:link w:val="13"/>
    <w:uiPriority w:val="10"/>
    <w:rPr>
      <w:rFonts w:ascii="Times New Roman" w:hAnsi="Times New Roman" w:eastAsia="宋体" w:cstheme="majorBidi"/>
      <w:b/>
      <w:bCs/>
      <w:sz w:val="32"/>
      <w:szCs w:val="32"/>
    </w:rPr>
  </w:style>
  <w:style w:type="paragraph" w:customStyle="1" w:styleId="25">
    <w:name w:val="摘要关键词"/>
    <w:basedOn w:val="1"/>
    <w:next w:val="1"/>
    <w:link w:val="26"/>
    <w:qFormat/>
    <w:uiPriority w:val="0"/>
    <w:rPr>
      <w:rFonts w:eastAsia="楷体"/>
    </w:rPr>
  </w:style>
  <w:style w:type="character" w:customStyle="1" w:styleId="26">
    <w:name w:val="摘要关键词 字符"/>
    <w:basedOn w:val="16"/>
    <w:link w:val="25"/>
    <w:uiPriority w:val="0"/>
    <w:rPr>
      <w:rFonts w:ascii="Times New Roman" w:hAnsi="Times New Roman" w:eastAsia="楷体"/>
      <w:sz w:val="24"/>
      <w:szCs w:val="22"/>
    </w:rPr>
  </w:style>
  <w:style w:type="paragraph" w:customStyle="1" w:styleId="27">
    <w:name w:val="一级标题"/>
    <w:basedOn w:val="2"/>
    <w:next w:val="1"/>
    <w:link w:val="28"/>
    <w:qFormat/>
    <w:uiPriority w:val="0"/>
    <w:pPr>
      <w:numPr>
        <w:numId w:val="0"/>
      </w:numPr>
      <w:spacing w:before="240"/>
    </w:pPr>
  </w:style>
  <w:style w:type="character" w:customStyle="1" w:styleId="28">
    <w:name w:val="一级标题 字符"/>
    <w:basedOn w:val="21"/>
    <w:link w:val="27"/>
    <w:uiPriority w:val="0"/>
    <w:rPr>
      <w:rFonts w:ascii="Times New Roman" w:hAnsi="Times New Roman" w:eastAsia="黑体"/>
      <w:kern w:val="44"/>
      <w:sz w:val="28"/>
      <w:szCs w:val="44"/>
    </w:rPr>
  </w:style>
  <w:style w:type="paragraph" w:customStyle="1" w:styleId="29">
    <w:name w:val="二级标题"/>
    <w:basedOn w:val="3"/>
    <w:next w:val="1"/>
    <w:link w:val="30"/>
    <w:qFormat/>
    <w:uiPriority w:val="0"/>
    <w:pPr>
      <w:numPr>
        <w:ilvl w:val="0"/>
        <w:numId w:val="0"/>
      </w:numPr>
    </w:pPr>
  </w:style>
  <w:style w:type="character" w:customStyle="1" w:styleId="30">
    <w:name w:val="二级标题 字符"/>
    <w:basedOn w:val="18"/>
    <w:link w:val="29"/>
    <w:uiPriority w:val="0"/>
    <w:rPr>
      <w:rFonts w:ascii="Times New Roman" w:hAnsi="Times New Roman" w:eastAsia="黑体" w:cstheme="majorBidi"/>
      <w:sz w:val="24"/>
      <w:szCs w:val="32"/>
    </w:rPr>
  </w:style>
  <w:style w:type="paragraph" w:customStyle="1" w:styleId="31">
    <w:name w:val="三级标题"/>
    <w:basedOn w:val="4"/>
    <w:next w:val="1"/>
    <w:link w:val="32"/>
    <w:qFormat/>
    <w:uiPriority w:val="0"/>
    <w:pPr>
      <w:numPr>
        <w:ilvl w:val="0"/>
        <w:numId w:val="0"/>
      </w:numPr>
    </w:pPr>
    <w:rPr>
      <w:rFonts w:eastAsia="宋体"/>
      <w:b/>
    </w:rPr>
  </w:style>
  <w:style w:type="character" w:customStyle="1" w:styleId="32">
    <w:name w:val="三级标题 字符"/>
    <w:basedOn w:val="20"/>
    <w:link w:val="31"/>
    <w:uiPriority w:val="0"/>
    <w:rPr>
      <w:rFonts w:ascii="Times New Roman" w:hAnsi="Times New Roman" w:eastAsia="宋体"/>
      <w:b/>
      <w:sz w:val="24"/>
      <w:szCs w:val="32"/>
    </w:rPr>
  </w:style>
  <w:style w:type="character" w:customStyle="1" w:styleId="33">
    <w:name w:val="标题 4 字符"/>
    <w:basedOn w:val="16"/>
    <w:link w:val="5"/>
    <w:semiHidden/>
    <w:uiPriority w:val="9"/>
    <w:rPr>
      <w:rFonts w:cstheme="majorBidi"/>
      <w:color w:val="104862" w:themeColor="accent1" w:themeShade="BF"/>
      <w:sz w:val="28"/>
      <w:szCs w:val="28"/>
    </w:rPr>
  </w:style>
  <w:style w:type="character" w:customStyle="1" w:styleId="34">
    <w:name w:val="标题 5 字符"/>
    <w:basedOn w:val="16"/>
    <w:link w:val="6"/>
    <w:semiHidden/>
    <w:uiPriority w:val="9"/>
    <w:rPr>
      <w:rFonts w:cstheme="majorBidi"/>
      <w:color w:val="104862" w:themeColor="accent1" w:themeShade="BF"/>
      <w:sz w:val="24"/>
      <w:szCs w:val="24"/>
    </w:rPr>
  </w:style>
  <w:style w:type="character" w:customStyle="1" w:styleId="35">
    <w:name w:val="标题 6 字符"/>
    <w:basedOn w:val="16"/>
    <w:link w:val="7"/>
    <w:semiHidden/>
    <w:uiPriority w:val="9"/>
    <w:rPr>
      <w:rFonts w:cstheme="majorBidi"/>
      <w:b/>
      <w:bCs/>
      <w:color w:val="104862" w:themeColor="accent1" w:themeShade="BF"/>
      <w:sz w:val="24"/>
      <w:szCs w:val="22"/>
    </w:rPr>
  </w:style>
  <w:style w:type="character" w:customStyle="1" w:styleId="36">
    <w:name w:val="标题 7 字符"/>
    <w:basedOn w:val="16"/>
    <w:link w:val="8"/>
    <w:semiHidden/>
    <w:uiPriority w:val="9"/>
    <w:rPr>
      <w:rFonts w:cstheme="majorBidi"/>
      <w:b/>
      <w:bCs/>
      <w:color w:val="595959" w:themeColor="text1" w:themeTint="A6"/>
      <w:sz w:val="24"/>
      <w:szCs w:val="22"/>
      <w14:textFill>
        <w14:solidFill>
          <w14:schemeClr w14:val="tx1">
            <w14:lumMod w14:val="65000"/>
            <w14:lumOff w14:val="35000"/>
          </w14:schemeClr>
        </w14:solidFill>
      </w14:textFill>
    </w:rPr>
  </w:style>
  <w:style w:type="character" w:customStyle="1" w:styleId="37">
    <w:name w:val="标题 8 字符"/>
    <w:basedOn w:val="16"/>
    <w:link w:val="9"/>
    <w:semiHidden/>
    <w:uiPriority w:val="9"/>
    <w:rPr>
      <w:rFonts w:cstheme="majorBidi"/>
      <w:color w:val="595959" w:themeColor="text1" w:themeTint="A6"/>
      <w:sz w:val="24"/>
      <w:szCs w:val="22"/>
      <w14:textFill>
        <w14:solidFill>
          <w14:schemeClr w14:val="tx1">
            <w14:lumMod w14:val="65000"/>
            <w14:lumOff w14:val="35000"/>
          </w14:schemeClr>
        </w14:solidFill>
      </w14:textFill>
    </w:rPr>
  </w:style>
  <w:style w:type="character" w:customStyle="1" w:styleId="38">
    <w:name w:val="标题 9 字符"/>
    <w:basedOn w:val="16"/>
    <w:link w:val="10"/>
    <w:semiHidden/>
    <w:uiPriority w:val="9"/>
    <w:rPr>
      <w:rFonts w:eastAsiaTheme="majorEastAsia" w:cstheme="majorBidi"/>
      <w:color w:val="595959" w:themeColor="text1" w:themeTint="A6"/>
      <w:sz w:val="24"/>
      <w:szCs w:val="22"/>
      <w14:textFill>
        <w14:solidFill>
          <w14:schemeClr w14:val="tx1">
            <w14:lumMod w14:val="65000"/>
            <w14:lumOff w14:val="35000"/>
          </w14:schemeClr>
        </w14:solidFill>
      </w14:textFill>
    </w:rPr>
  </w:style>
  <w:style w:type="character" w:customStyle="1" w:styleId="39">
    <w:name w:val="副标题 字符"/>
    <w:basedOn w:val="16"/>
    <w:link w:val="11"/>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0">
    <w:name w:val="Quote"/>
    <w:basedOn w:val="1"/>
    <w:next w:val="1"/>
    <w:link w:val="41"/>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41">
    <w:name w:val="引用 字符"/>
    <w:basedOn w:val="16"/>
    <w:link w:val="40"/>
    <w:uiPriority w:val="29"/>
    <w:rPr>
      <w:rFonts w:ascii="Times New Roman" w:hAnsi="Times New Roman" w:eastAsia="宋体"/>
      <w:i/>
      <w:iCs/>
      <w:color w:val="404040" w:themeColor="text1" w:themeTint="BF"/>
      <w:sz w:val="24"/>
      <w:szCs w:val="22"/>
      <w14:textFill>
        <w14:solidFill>
          <w14:schemeClr w14:val="tx1">
            <w14:lumMod w14:val="75000"/>
            <w14:lumOff w14:val="25000"/>
          </w14:schemeClr>
        </w14:solidFill>
      </w14:textFill>
    </w:rPr>
  </w:style>
  <w:style w:type="paragraph" w:styleId="42">
    <w:name w:val="List Paragraph"/>
    <w:basedOn w:val="1"/>
    <w:qFormat/>
    <w:uiPriority w:val="34"/>
    <w:pPr>
      <w:ind w:left="720"/>
      <w:contextualSpacing/>
    </w:pPr>
  </w:style>
  <w:style w:type="character" w:customStyle="1" w:styleId="43">
    <w:name w:val="Intense Emphasis"/>
    <w:basedOn w:val="16"/>
    <w:qFormat/>
    <w:uiPriority w:val="21"/>
    <w:rPr>
      <w:i/>
      <w:iCs/>
      <w:color w:val="104862" w:themeColor="accent1" w:themeShade="BF"/>
    </w:rPr>
  </w:style>
  <w:style w:type="paragraph" w:styleId="44">
    <w:name w:val="Intense Quote"/>
    <w:basedOn w:val="1"/>
    <w:next w:val="1"/>
    <w:link w:val="4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5">
    <w:name w:val="明显引用 字符"/>
    <w:basedOn w:val="16"/>
    <w:link w:val="44"/>
    <w:uiPriority w:val="30"/>
    <w:rPr>
      <w:rFonts w:ascii="Times New Roman" w:hAnsi="Times New Roman" w:eastAsia="宋体"/>
      <w:i/>
      <w:iCs/>
      <w:color w:val="104862" w:themeColor="accent1" w:themeShade="BF"/>
      <w:sz w:val="24"/>
      <w:szCs w:val="22"/>
    </w:rPr>
  </w:style>
  <w:style w:type="character" w:customStyle="1" w:styleId="46">
    <w:name w:val="Intense Reference"/>
    <w:basedOn w:val="16"/>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wmf"/><Relationship Id="rId21" Type="http://schemas.openxmlformats.org/officeDocument/2006/relationships/oleObject" Target="embeddings/oleObject6.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9.wmf"/><Relationship Id="rId17" Type="http://schemas.openxmlformats.org/officeDocument/2006/relationships/oleObject" Target="embeddings/oleObject4.bin"/><Relationship Id="rId16" Type="http://schemas.openxmlformats.org/officeDocument/2006/relationships/image" Target="media/image8.wmf"/><Relationship Id="rId15" Type="http://schemas.openxmlformats.org/officeDocument/2006/relationships/oleObject" Target="embeddings/oleObject3.bin"/><Relationship Id="rId14" Type="http://schemas.openxmlformats.org/officeDocument/2006/relationships/image" Target="media/image7.wmf"/><Relationship Id="rId13" Type="http://schemas.openxmlformats.org/officeDocument/2006/relationships/oleObject" Target="embeddings/oleObject2.bin"/><Relationship Id="rId12" Type="http://schemas.openxmlformats.org/officeDocument/2006/relationships/image" Target="media/image6.wmf"/><Relationship Id="rId11" Type="http://schemas.openxmlformats.org/officeDocument/2006/relationships/oleObject" Target="embeddings/oleObject1.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87</Words>
  <Characters>502</Characters>
  <Lines>4</Lines>
  <Paragraphs>1</Paragraphs>
  <TotalTime>12</TotalTime>
  <ScaleCrop>false</ScaleCrop>
  <LinksUpToDate>false</LinksUpToDate>
  <CharactersWithSpaces>588</CharactersWithSpaces>
  <Application>WPS Office_6.15.1.8935_F1E327BC-269C-435d-A152-05C5408002CA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2025-02-14T13:23:00Z</dcterms:created>
  <dc:creator>昭芃 郭</dc:creator>
  <cp:lastModifiedBy>年少轻狂爱物理</cp:lastModifiedBy>
  <dcterms:modified xsi:type="dcterms:W3CDTF">2025-02-15T21:14:44Z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2052-6.15.1.8935</vt:lpwstr>
  </property>
  <property fmtid="{D5CDD505-2E9C-101B-9397-08002B2CF9AE}" pid="3" name="ICV">
    <vt:lpwstr>723855871BDDAA158F7BB067C39B69AC_42</vt:lpwstr>
  </property>
</Properties>
</file>