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color w:val="1F4E79"/>
          <w:sz w:val="32"/>
        </w:rPr>
        <w:t>CAT MODEL ANSWERS</w:t>
      </w:r>
    </w:p>
    <w:p>
      <w:pPr>
        <w:spacing w:before="0" w:after="40"/>
        <w:jc w:val="center"/>
      </w:pPr>
      <w:r>
        <w:rPr>
          <w:rFonts w:ascii="Times New Roman" w:hAnsi="Times New Roman"/>
          <w:b/>
          <w:i w:val="0"/>
          <w:color w:val="1F2937"/>
          <w:sz w:val="24"/>
        </w:rPr>
        <w:t>Distributed Systems, ERP, Organisation and Cloud Computing</w:t>
      </w:r>
    </w:p>
    <w:p>
      <w:pPr>
        <w:spacing w:before="0" w:after="200"/>
        <w:jc w:val="center"/>
      </w:pPr>
      <w:r>
        <w:rPr>
          <w:rFonts w:ascii="Times New Roman" w:hAnsi="Times New Roman"/>
          <w:b w:val="0"/>
          <w:i/>
          <w:color w:val="1F2937"/>
          <w:sz w:val="20"/>
        </w:rPr>
        <w:t>For revision after the paper. Section A is compulsory. Section B: any two of Questions 2–5. All Section B questions are answered so you can check whichever pair you chose.</w:t>
      </w:r>
    </w:p>
    <w:p>
      <w:pPr>
        <w:spacing w:before="240" w:after="120"/>
      </w:pPr>
      <w:r>
        <w:rPr>
          <w:rFonts w:ascii="Times New Roman" w:hAnsi="Times New Roman"/>
          <w:b/>
          <w:i w:val="0"/>
          <w:color w:val="1F4E79"/>
          <w:sz w:val="26"/>
        </w:rPr>
        <w:t>SECTION A — COMPULSORY (50 MARKS)</w:t>
      </w:r>
    </w:p>
    <w:p>
      <w:pPr>
        <w:spacing w:before="240" w:after="120"/>
      </w:pPr>
      <w:r>
        <w:rPr>
          <w:rFonts w:ascii="Times New Roman" w:hAnsi="Times New Roman"/>
          <w:b/>
          <w:i w:val="0"/>
          <w:color w:val="1F4E79"/>
          <w:sz w:val="26"/>
        </w:rPr>
        <w:t>QUESTION ONE — AgriMart (50 Marks)</w:t>
      </w:r>
    </w:p>
    <w:p>
      <w:pPr>
        <w:spacing w:before="160" w:after="80"/>
      </w:pPr>
      <w:r>
        <w:rPr>
          <w:rFonts w:ascii="Times New Roman" w:hAnsi="Times New Roman"/>
          <w:b/>
          <w:i w:val="0"/>
          <w:color w:val="1F4E79"/>
          <w:sz w:val="24"/>
        </w:rPr>
        <w:t>a) Distributed system: definition, hardware and software, advantages, challenges (10 marks)</w:t>
      </w:r>
    </w:p>
    <w:p>
      <w:pPr>
        <w:spacing w:before="0" w:after="120"/>
      </w:pPr>
      <w:r>
        <w:rPr>
          <w:rFonts w:ascii="Times New Roman" w:hAnsi="Times New Roman"/>
          <w:b w:val="0"/>
          <w:i w:val="0"/>
          <w:color w:val="1F2937"/>
          <w:sz w:val="22"/>
        </w:rPr>
        <w:t>A distributed system is a collection of independent computers, linked by a network, that appear to users as a single coherent system. Hardware: several machines (AgriMart branches, warehouses, head office) with processors, storage and network links. Software: a layer of middleware and applications that hide the separate machines so staff see one sales, stock and customer system.</w:t>
      </w:r>
    </w:p>
    <w:p>
      <w:pPr>
        <w:spacing w:before="0" w:after="40"/>
      </w:pPr>
      <w:r>
        <w:rPr>
          <w:rFonts w:ascii="Times New Roman" w:hAnsi="Times New Roman"/>
          <w:b/>
          <w:i w:val="0"/>
          <w:color w:val="1F2937"/>
          <w:sz w:val="22"/>
        </w:rPr>
        <w:t>Advantages over a centralised mainframe:</w:t>
      </w:r>
    </w:p>
    <w:p>
      <w:pPr>
        <w:pStyle w:val="ListBullet"/>
        <w:spacing w:after="40"/>
      </w:pPr>
      <w:r>
        <w:rPr>
          <w:rFonts w:ascii="Times New Roman" w:hAnsi="Times New Roman"/>
          <w:b w:val="0"/>
          <w:i w:val="0"/>
          <w:color w:val="1F2937"/>
          <w:sz w:val="22"/>
        </w:rPr>
        <w:t>Scalability: new branch servers can be added without buying one huge machine and waiting months for delivery.</w:t>
      </w:r>
    </w:p>
    <w:p>
      <w:pPr>
        <w:pStyle w:val="ListBullet"/>
        <w:spacing w:after="40"/>
      </w:pPr>
      <w:r>
        <w:rPr>
          <w:rFonts w:ascii="Times New Roman" w:hAnsi="Times New Roman"/>
          <w:b w:val="0"/>
          <w:i w:val="0"/>
          <w:color w:val="1F2937"/>
          <w:sz w:val="22"/>
        </w:rPr>
        <w:t>Fault isolation: a fault at one branch need not stop all 40 shops, unlike last quarter’s six-hour mainframe outage.</w:t>
      </w:r>
    </w:p>
    <w:p>
      <w:pPr>
        <w:pStyle w:val="ListBullet"/>
        <w:spacing w:after="40"/>
      </w:pPr>
      <w:r>
        <w:rPr>
          <w:rFonts w:ascii="Times New Roman" w:hAnsi="Times New Roman"/>
          <w:b w:val="0"/>
          <w:i w:val="0"/>
          <w:color w:val="1F2937"/>
          <w:sz w:val="22"/>
        </w:rPr>
        <w:t>Local performance: tills and pricing run on the branch server, so busy days do not queue on one head-office computer.</w:t>
      </w:r>
    </w:p>
    <w:p>
      <w:pPr>
        <w:pStyle w:val="ListBullet"/>
        <w:spacing w:after="40"/>
      </w:pPr>
      <w:r>
        <w:rPr>
          <w:rFonts w:ascii="Times New Roman" w:hAnsi="Times New Roman"/>
          <w:b w:val="0"/>
          <w:i w:val="0"/>
          <w:color w:val="1F2937"/>
          <w:sz w:val="22"/>
        </w:rPr>
        <w:t>Cost and incremental growth: capacity is added where it is needed (new branches, online shopping) instead of one expensive upgrade.</w:t>
      </w:r>
    </w:p>
    <w:p>
      <w:pPr>
        <w:spacing w:before="0" w:after="40"/>
      </w:pPr>
      <w:r>
        <w:rPr>
          <w:rFonts w:ascii="Times New Roman" w:hAnsi="Times New Roman"/>
          <w:b/>
          <w:i w:val="0"/>
          <w:color w:val="1F2937"/>
          <w:sz w:val="22"/>
        </w:rPr>
        <w:t>Challenges when designing the distributed system:</w:t>
      </w:r>
    </w:p>
    <w:p>
      <w:pPr>
        <w:pStyle w:val="ListBullet"/>
        <w:spacing w:after="40"/>
      </w:pPr>
      <w:r>
        <w:rPr>
          <w:rFonts w:ascii="Times New Roman" w:hAnsi="Times New Roman"/>
          <w:b w:val="0"/>
          <w:i w:val="0"/>
          <w:color w:val="1F2937"/>
          <w:sz w:val="22"/>
        </w:rPr>
        <w:t>Heterogeneity: Linux at head office, Windows in branches, vendor OS in warehouses, handheld scanners and mobile devices, different languages.</w:t>
      </w:r>
    </w:p>
    <w:p>
      <w:pPr>
        <w:pStyle w:val="ListBullet"/>
        <w:spacing w:after="40"/>
      </w:pPr>
      <w:r>
        <w:rPr>
          <w:rFonts w:ascii="Times New Roman" w:hAnsi="Times New Roman"/>
          <w:b w:val="0"/>
          <w:i w:val="0"/>
          <w:color w:val="1F2937"/>
          <w:sz w:val="22"/>
        </w:rPr>
        <w:t>Transparency: staff must still see one system even though copies of price lists and customer records can drift (as in the pilot).</w:t>
      </w:r>
    </w:p>
    <w:p>
      <w:pPr>
        <w:pStyle w:val="ListBullet"/>
        <w:spacing w:after="40"/>
      </w:pPr>
      <w:r>
        <w:rPr>
          <w:rFonts w:ascii="Times New Roman" w:hAnsi="Times New Roman"/>
          <w:b w:val="0"/>
          <w:i w:val="0"/>
          <w:color w:val="1F2937"/>
          <w:sz w:val="22"/>
        </w:rPr>
        <w:t>Failure and network partitions: a broken link between a branch and head office must not leave tills unusable or data unsafe.</w:t>
      </w:r>
    </w:p>
    <w:p>
      <w:pPr>
        <w:pStyle w:val="ListBullet"/>
        <w:spacing w:after="40"/>
      </w:pPr>
      <w:r>
        <w:rPr>
          <w:rFonts w:ascii="Times New Roman" w:hAnsi="Times New Roman"/>
          <w:b w:val="0"/>
          <w:i w:val="0"/>
          <w:color w:val="1F2937"/>
          <w:sz w:val="22"/>
        </w:rPr>
        <w:t>Security and consistency: more computers hold sensitive customer data; replication and caching can leave branches charging the old price.</w:t>
      </w:r>
    </w:p>
    <w:p>
      <w:pPr>
        <w:pStyle w:val="ListBullet"/>
        <w:spacing w:after="40"/>
      </w:pPr>
      <w:r>
        <w:rPr>
          <w:rFonts w:ascii="Times New Roman" w:hAnsi="Times New Roman"/>
          <w:b w:val="0"/>
          <w:i w:val="0"/>
          <w:color w:val="1F2937"/>
          <w:sz w:val="22"/>
        </w:rPr>
        <w:t>Openness: different operating systems and applications must work together through a common software layer.</w:t>
      </w:r>
    </w:p>
    <w:p>
      <w:pPr>
        <w:spacing w:before="160" w:after="80"/>
      </w:pPr>
      <w:r>
        <w:rPr>
          <w:rFonts w:ascii="Times New Roman" w:hAnsi="Times New Roman"/>
          <w:b/>
          <w:i w:val="0"/>
          <w:color w:val="1F4E79"/>
          <w:sz w:val="24"/>
        </w:rPr>
        <w:t>b) Transparency, openness, scalability; AgriMart examples; replication and caching (10 marks)</w:t>
      </w:r>
    </w:p>
    <w:p>
      <w:pPr>
        <w:spacing w:before="0" w:after="80"/>
      </w:pPr>
      <w:r>
        <w:rPr>
          <w:rFonts w:ascii="Times New Roman" w:hAnsi="Times New Roman"/>
          <w:b w:val="0"/>
          <w:i w:val="0"/>
          <w:color w:val="1F2937"/>
          <w:sz w:val="22"/>
        </w:rPr>
        <w:t>Transparency: hide distribution so the system looks like one machine. Access, location, concurrency, replication, failure and performance transparency. AgriMart: a cashier should not need to know whether stock is on the warehouse server or a local copy. The pilot failed this: copies of the price list fell out of step, so two branches charged different prices.</w:t>
      </w:r>
    </w:p>
    <w:p>
      <w:pPr>
        <w:spacing w:before="0" w:after="80"/>
      </w:pPr>
      <w:r>
        <w:rPr>
          <w:rFonts w:ascii="Times New Roman" w:hAnsi="Times New Roman"/>
          <w:b w:val="0"/>
          <w:i w:val="0"/>
          <w:color w:val="1F2937"/>
          <w:sz w:val="22"/>
        </w:rPr>
        <w:t>Openness: the system can be extended and connected using published interfaces, so new machines and applications can join. AgriMart: Linux, Windows, warehouse OS and scanners must talk through a common layer rather than one vendor lock-in.</w:t>
      </w:r>
    </w:p>
    <w:p>
      <w:pPr>
        <w:spacing w:before="0" w:after="40"/>
      </w:pPr>
      <w:r>
        <w:rPr>
          <w:rFonts w:ascii="Times New Roman" w:hAnsi="Times New Roman"/>
          <w:b/>
          <w:i w:val="0"/>
          <w:color w:val="1F2937"/>
          <w:sz w:val="22"/>
        </w:rPr>
        <w:t>Scalability (three dimensions, Tanenbaum-style):</w:t>
      </w:r>
    </w:p>
    <w:p>
      <w:pPr>
        <w:pStyle w:val="ListBullet"/>
        <w:spacing w:after="40"/>
      </w:pPr>
      <w:r>
        <w:rPr>
          <w:rFonts w:ascii="Times New Roman" w:hAnsi="Times New Roman"/>
          <w:b w:val="0"/>
          <w:i w:val="0"/>
          <w:color w:val="1F2937"/>
          <w:sz w:val="22"/>
        </w:rPr>
        <w:t>Size: more users, branches and transactions (40 shops now, more later, plus online shopping).</w:t>
      </w:r>
    </w:p>
    <w:p>
      <w:pPr>
        <w:pStyle w:val="ListBullet"/>
        <w:spacing w:after="40"/>
      </w:pPr>
      <w:r>
        <w:rPr>
          <w:rFonts w:ascii="Times New Roman" w:hAnsi="Times New Roman"/>
          <w:b w:val="0"/>
          <w:i w:val="0"/>
          <w:color w:val="1F2937"/>
          <w:sz w:val="22"/>
        </w:rPr>
        <w:t>Geography: machines spread over the internet (branches, three regional warehouses, head office).</w:t>
      </w:r>
    </w:p>
    <w:p>
      <w:pPr>
        <w:pStyle w:val="ListBullet"/>
        <w:spacing w:after="40"/>
      </w:pPr>
      <w:r>
        <w:rPr>
          <w:rFonts w:ascii="Times New Roman" w:hAnsi="Times New Roman"/>
          <w:b w:val="0"/>
          <w:i w:val="0"/>
          <w:color w:val="1F2937"/>
          <w:sz w:val="22"/>
        </w:rPr>
        <w:t>Administration: many independent sites and operating systems, not one mainframe team.</w:t>
      </w:r>
    </w:p>
    <w:p>
      <w:pPr>
        <w:spacing w:before="0" w:after="80"/>
      </w:pPr>
      <w:r>
        <w:rPr>
          <w:rFonts w:ascii="Times New Roman" w:hAnsi="Times New Roman"/>
          <w:b w:val="0"/>
          <w:i w:val="0"/>
          <w:color w:val="1F2937"/>
          <w:sz w:val="22"/>
        </w:rPr>
        <w:t>Techniques: distribution of data and processing (branch tills locally; warehouses for stock; head office for loyalty and reports); replication (price lists, cached customer records); caching (local copies for speed); hide communication behind middleware.</w:t>
      </w:r>
    </w:p>
    <w:p>
      <w:pPr>
        <w:spacing w:before="0" w:after="120"/>
      </w:pPr>
      <w:r>
        <w:rPr>
          <w:rFonts w:ascii="Times New Roman" w:hAnsi="Times New Roman"/>
          <w:b w:val="0"/>
          <w:i w:val="0"/>
          <w:color w:val="1F2937"/>
          <w:sz w:val="22"/>
        </w:rPr>
        <w:t>Problem of replication and caching: copies become inconsistent. AgriMart’s pilot: a price change at head office did not reach some branches; a loyalty query at two branches returned different answers. Design must include update propagation, versioning or invalidation, and a single source of truth for prices and loyalty.</w:t>
      </w:r>
    </w:p>
    <w:p>
      <w:pPr>
        <w:spacing w:before="160" w:after="80"/>
      </w:pPr>
      <w:r>
        <w:rPr>
          <w:rFonts w:ascii="Times New Roman" w:hAnsi="Times New Roman"/>
          <w:b/>
          <w:i w:val="0"/>
          <w:color w:val="1F4E79"/>
          <w:sz w:val="24"/>
        </w:rPr>
        <w:t>c) Network OS, distributed OS, middleware; middleware categories; client-server vs peer-to-peer (10 marks)</w:t>
      </w:r>
    </w:p>
    <w:p>
      <w:pPr>
        <w:spacing w:before="0" w:after="80"/>
      </w:pPr>
      <w:r>
        <w:rPr>
          <w:rFonts w:ascii="Times New Roman" w:hAnsi="Times New Roman"/>
          <w:b w:val="0"/>
          <w:i w:val="0"/>
          <w:color w:val="1F2937"/>
          <w:sz w:val="22"/>
        </w:rPr>
        <w:t>Network operating system (NOS): each machine keeps its own OS; users explicitly use remote resources (map a drive, remote login). AgriMart today is close to this: staff log into separate systems.</w:t>
      </w:r>
    </w:p>
    <w:p>
      <w:pPr>
        <w:spacing w:before="0" w:after="80"/>
      </w:pPr>
      <w:r>
        <w:rPr>
          <w:rFonts w:ascii="Times New Roman" w:hAnsi="Times New Roman"/>
          <w:b w:val="0"/>
          <w:i w:val="0"/>
          <w:color w:val="1F2937"/>
          <w:sz w:val="22"/>
        </w:rPr>
        <w:t>Distributed operating system (DOS): one OS image across machines; users do not see separate computers. Rare in mixed Linux/Windows/vendor shops.</w:t>
      </w:r>
    </w:p>
    <w:p>
      <w:pPr>
        <w:spacing w:before="0" w:after="80"/>
      </w:pPr>
      <w:r>
        <w:rPr>
          <w:rFonts w:ascii="Times New Roman" w:hAnsi="Times New Roman"/>
          <w:b w:val="0"/>
          <w:i w:val="0"/>
          <w:color w:val="1F2937"/>
          <w:sz w:val="22"/>
        </w:rPr>
        <w:t>Middleware: a software layer above the local OS that provides common services (naming, communication, transactions, security) so applications appear as one system without replacing every OS. This is what AgriMart needs.</w:t>
      </w:r>
    </w:p>
    <w:p>
      <w:pPr>
        <w:spacing w:before="0" w:after="40"/>
      </w:pPr>
      <w:r>
        <w:rPr>
          <w:rFonts w:ascii="Times New Roman" w:hAnsi="Times New Roman"/>
          <w:b/>
          <w:i w:val="0"/>
          <w:color w:val="1F2937"/>
          <w:sz w:val="22"/>
        </w:rPr>
        <w:t>Categories of middleware services (examples):</w:t>
      </w:r>
    </w:p>
    <w:p>
      <w:pPr>
        <w:pStyle w:val="ListBullet"/>
        <w:spacing w:after="40"/>
      </w:pPr>
      <w:r>
        <w:rPr>
          <w:rFonts w:ascii="Times New Roman" w:hAnsi="Times New Roman"/>
          <w:b w:val="0"/>
          <w:i w:val="0"/>
          <w:color w:val="1F2937"/>
          <w:sz w:val="22"/>
        </w:rPr>
        <w:t>Communication: RPC/RMI, message queues, request–reply (branch till asks warehouse stock).</w:t>
      </w:r>
    </w:p>
    <w:p>
      <w:pPr>
        <w:pStyle w:val="ListBullet"/>
        <w:spacing w:after="40"/>
      </w:pPr>
      <w:r>
        <w:rPr>
          <w:rFonts w:ascii="Times New Roman" w:hAnsi="Times New Roman"/>
          <w:b w:val="0"/>
          <w:i w:val="0"/>
          <w:color w:val="1F2937"/>
          <w:sz w:val="22"/>
        </w:rPr>
        <w:t>Naming and directory: lookup of servers and services.</w:t>
      </w:r>
    </w:p>
    <w:p>
      <w:pPr>
        <w:pStyle w:val="ListBullet"/>
        <w:spacing w:after="40"/>
      </w:pPr>
      <w:r>
        <w:rPr>
          <w:rFonts w:ascii="Times New Roman" w:hAnsi="Times New Roman"/>
          <w:b w:val="0"/>
          <w:i w:val="0"/>
          <w:color w:val="1F2937"/>
          <w:sz w:val="22"/>
        </w:rPr>
        <w:t>Coordination / transactions: locking, commit so a price change is all-or-nothing.</w:t>
      </w:r>
    </w:p>
    <w:p>
      <w:pPr>
        <w:pStyle w:val="ListBullet"/>
        <w:spacing w:after="40"/>
      </w:pPr>
      <w:r>
        <w:rPr>
          <w:rFonts w:ascii="Times New Roman" w:hAnsi="Times New Roman"/>
          <w:b w:val="0"/>
          <w:i w:val="0"/>
          <w:color w:val="1F2937"/>
          <w:sz w:val="22"/>
        </w:rPr>
        <w:t>Data management / replication: keep price lists and loyalty caches in step.</w:t>
      </w:r>
    </w:p>
    <w:p>
      <w:pPr>
        <w:pStyle w:val="ListBullet"/>
        <w:spacing w:after="40"/>
      </w:pPr>
      <w:r>
        <w:rPr>
          <w:rFonts w:ascii="Times New Roman" w:hAnsi="Times New Roman"/>
          <w:b w:val="0"/>
          <w:i w:val="0"/>
          <w:color w:val="1F2937"/>
          <w:sz w:val="22"/>
        </w:rPr>
        <w:t>Security: authentication and encryption on the internet links.</w:t>
      </w:r>
    </w:p>
    <w:p>
      <w:pPr>
        <w:pStyle w:val="ListBullet"/>
        <w:spacing w:after="40"/>
      </w:pPr>
      <w:r>
        <w:rPr>
          <w:rFonts w:ascii="Times New Roman" w:hAnsi="Times New Roman"/>
          <w:b w:val="0"/>
          <w:i w:val="0"/>
          <w:color w:val="1F2937"/>
          <w:sz w:val="22"/>
        </w:rPr>
        <w:t>Platform / web: application servers, HTTP, so staff see one interface.</w:t>
      </w:r>
    </w:p>
    <w:p>
      <w:pPr>
        <w:spacing w:before="0" w:after="80"/>
      </w:pPr>
      <w:r>
        <w:rPr>
          <w:rFonts w:ascii="Times New Roman" w:hAnsi="Times New Roman"/>
          <w:b w:val="0"/>
          <w:i w:val="0"/>
          <w:color w:val="1F2937"/>
          <w:sz w:val="22"/>
        </w:rPr>
        <w:t>Client–server: clients (branch tills) request services from dedicated servers (warehouse stock, head-office loyalty). Clear control, easier security and backup, but the server can be a bottleneck and a single point of failure.</w:t>
      </w:r>
    </w:p>
    <w:p>
      <w:pPr>
        <w:spacing w:before="0" w:after="120"/>
      </w:pPr>
      <w:r>
        <w:rPr>
          <w:rFonts w:ascii="Times New Roman" w:hAnsi="Times New Roman"/>
          <w:b w:val="0"/>
          <w:i w:val="0"/>
          <w:color w:val="1F2937"/>
          <w:sz w:val="22"/>
        </w:rPr>
        <w:t>Peer-to-peer: branches and warehouses share stock data as equals, no dedicated server. Scales by adding peers, but consistency, security and “who is the official price list?” become harder — already a problem in AgriMart’s pilot.</w:t>
      </w:r>
    </w:p>
    <w:p>
      <w:pPr>
        <w:spacing w:before="160" w:after="80"/>
      </w:pPr>
      <w:r>
        <w:rPr>
          <w:rFonts w:ascii="Times New Roman" w:hAnsi="Times New Roman"/>
          <w:b/>
          <w:i w:val="0"/>
          <w:color w:val="1F4E79"/>
          <w:sz w:val="24"/>
        </w:rPr>
        <w:t>d) Multiprocessor; SMP vs ASMP; shared-memory vs message-passing; heterogeneity (10 marks)</w:t>
      </w:r>
    </w:p>
    <w:p>
      <w:pPr>
        <w:spacing w:before="0" w:after="80"/>
      </w:pPr>
      <w:r>
        <w:rPr>
          <w:rFonts w:ascii="Times New Roman" w:hAnsi="Times New Roman"/>
          <w:b w:val="0"/>
          <w:i w:val="0"/>
          <w:color w:val="1F2937"/>
          <w:sz w:val="22"/>
        </w:rPr>
        <w:t>A multiprocessor is one computer with two or more processors that share the same memory and appear as one machine to the OS. A multicomputer is several computers, each with its own memory, connected by a network.</w:t>
      </w:r>
    </w:p>
    <w:p>
      <w:pPr>
        <w:spacing w:before="0" w:after="80"/>
      </w:pPr>
      <w:r>
        <w:rPr>
          <w:rFonts w:ascii="Times New Roman" w:hAnsi="Times New Roman"/>
          <w:b w:val="0"/>
          <w:i w:val="0"/>
          <w:color w:val="1F2937"/>
          <w:sz w:val="22"/>
        </w:rPr>
        <w:t>SMP (symmetric multiprocessing): every processor can run the OS and user work; they share memory equally. Used in modern servers.</w:t>
      </w:r>
    </w:p>
    <w:p>
      <w:pPr>
        <w:spacing w:before="0" w:after="80"/>
      </w:pPr>
      <w:r>
        <w:rPr>
          <w:rFonts w:ascii="Times New Roman" w:hAnsi="Times New Roman"/>
          <w:b w:val="0"/>
          <w:i w:val="0"/>
          <w:color w:val="1F2937"/>
          <w:sz w:val="22"/>
        </w:rPr>
        <w:t>ASMP (asymmetric multiprocessing): one master processor runs the OS; others run only assigned tasks. Simpler, but the master is a bottleneck and a single point of failure.</w:t>
      </w:r>
    </w:p>
    <w:p>
      <w:pPr>
        <w:spacing w:before="0" w:after="80"/>
      </w:pPr>
      <w:r>
        <w:rPr>
          <w:rFonts w:ascii="Times New Roman" w:hAnsi="Times New Roman"/>
          <w:b w:val="0"/>
          <w:i w:val="0"/>
          <w:color w:val="1F2937"/>
          <w:sz w:val="22"/>
        </w:rPr>
        <w:t>Shared-memory communication: processors read and write the same memory; synchronisation uses locks. Fast inside one box; does not extend easily across AgriMart’s internet-linked branches.</w:t>
      </w:r>
    </w:p>
    <w:p>
      <w:pPr>
        <w:spacing w:before="0" w:after="80"/>
      </w:pPr>
      <w:r>
        <w:rPr>
          <w:rFonts w:ascii="Times New Roman" w:hAnsi="Times New Roman"/>
          <w:b w:val="0"/>
          <w:i w:val="0"/>
          <w:color w:val="1F2937"/>
          <w:sz w:val="22"/>
        </w:rPr>
        <w:t>Message-passing communication: processors send messages over a network. This is the right model for AgriMart’s distributed branches, warehouses and head office.</w:t>
      </w:r>
    </w:p>
    <w:p>
      <w:pPr>
        <w:spacing w:before="0" w:after="40"/>
      </w:pPr>
      <w:r>
        <w:rPr>
          <w:rFonts w:ascii="Times New Roman" w:hAnsi="Times New Roman"/>
          <w:b/>
          <w:i w:val="0"/>
          <w:color w:val="1F2937"/>
          <w:sz w:val="22"/>
        </w:rPr>
        <w:t>Heterogeneity in a network of computers:</w:t>
      </w:r>
    </w:p>
    <w:p>
      <w:pPr>
        <w:pStyle w:val="ListBullet"/>
        <w:spacing w:after="40"/>
      </w:pPr>
      <w:r>
        <w:rPr>
          <w:rFonts w:ascii="Times New Roman" w:hAnsi="Times New Roman"/>
          <w:b w:val="0"/>
          <w:i w:val="0"/>
          <w:color w:val="1F2937"/>
          <w:sz w:val="22"/>
        </w:rPr>
        <w:t>Node heterogeneity: different CPUs, OS (Linux, Windows, vendor OS, handhelds) and languages — AgriMart already has this.</w:t>
      </w:r>
    </w:p>
    <w:p>
      <w:pPr>
        <w:pStyle w:val="ListBullet"/>
        <w:spacing w:after="40"/>
      </w:pPr>
      <w:r>
        <w:rPr>
          <w:rFonts w:ascii="Times New Roman" w:hAnsi="Times New Roman"/>
          <w:b w:val="0"/>
          <w:i w:val="0"/>
          <w:color w:val="1F2937"/>
          <w:sz w:val="22"/>
        </w:rPr>
        <w:t>Network heterogeneity: different local networks and the internet between sites, with different speed and reliability.</w:t>
      </w:r>
    </w:p>
    <w:p>
      <w:pPr>
        <w:spacing w:before="160" w:after="80"/>
      </w:pPr>
      <w:r>
        <w:rPr>
          <w:rFonts w:ascii="Times New Roman" w:hAnsi="Times New Roman"/>
          <w:b/>
          <w:i w:val="0"/>
          <w:color w:val="1F4E79"/>
          <w:sz w:val="24"/>
        </w:rPr>
        <w:t>e) Four architectural questions; communication paradigms; caching (10 marks)</w:t>
      </w:r>
    </w:p>
    <w:p>
      <w:pPr>
        <w:spacing w:before="0" w:after="40"/>
      </w:pPr>
      <w:r>
        <w:rPr>
          <w:rFonts w:ascii="Times New Roman" w:hAnsi="Times New Roman"/>
          <w:b/>
          <w:i w:val="0"/>
          <w:color w:val="1F2937"/>
          <w:sz w:val="22"/>
        </w:rPr>
        <w:t>Four questions (Coulouris-style) to understand the architecture:</w:t>
      </w:r>
    </w:p>
    <w:p>
      <w:pPr>
        <w:pStyle w:val="ListNumber"/>
        <w:spacing w:after="40"/>
      </w:pPr>
      <w:r>
        <w:rPr>
          <w:rFonts w:ascii="Times New Roman" w:hAnsi="Times New Roman"/>
          <w:b w:val="0"/>
          <w:i w:val="0"/>
          <w:color w:val="1F2937"/>
          <w:sz w:val="22"/>
        </w:rPr>
        <w:t>What are the entities that communicate? (processes, objects, web resources, tills, warehouse servers.)</w:t>
      </w:r>
    </w:p>
    <w:p>
      <w:pPr>
        <w:pStyle w:val="ListNumber"/>
        <w:spacing w:after="40"/>
      </w:pPr>
      <w:r>
        <w:rPr>
          <w:rFonts w:ascii="Times New Roman" w:hAnsi="Times New Roman"/>
          <w:b w:val="0"/>
          <w:i w:val="0"/>
          <w:color w:val="1F2937"/>
          <w:sz w:val="22"/>
        </w:rPr>
        <w:t>How do they communicate? (inter-process communication, remote invocation, indirect communication.)</w:t>
      </w:r>
    </w:p>
    <w:p>
      <w:pPr>
        <w:pStyle w:val="ListNumber"/>
        <w:spacing w:after="40"/>
      </w:pPr>
      <w:r>
        <w:rPr>
          <w:rFonts w:ascii="Times New Roman" w:hAnsi="Times New Roman"/>
          <w:b w:val="0"/>
          <w:i w:val="0"/>
          <w:color w:val="1F2937"/>
          <w:sz w:val="22"/>
        </w:rPr>
        <w:t>What roles and modes of operation? (client–server, peer-to-peer, mobile code.)</w:t>
      </w:r>
    </w:p>
    <w:p>
      <w:pPr>
        <w:pStyle w:val="ListNumber"/>
        <w:spacing w:after="40"/>
      </w:pPr>
      <w:r>
        <w:rPr>
          <w:rFonts w:ascii="Times New Roman" w:hAnsi="Times New Roman"/>
          <w:b w:val="0"/>
          <w:i w:val="0"/>
          <w:color w:val="1F2937"/>
          <w:sz w:val="22"/>
        </w:rPr>
        <w:t>How is communication and state placed? (where data lives, replication, caching, mobile agents.)</w:t>
      </w:r>
    </w:p>
    <w:p>
      <w:pPr>
        <w:spacing w:before="0" w:after="40"/>
      </w:pPr>
      <w:r>
        <w:rPr>
          <w:rFonts w:ascii="Times New Roman" w:hAnsi="Times New Roman"/>
          <w:b/>
          <w:i w:val="0"/>
          <w:color w:val="1F2937"/>
          <w:sz w:val="22"/>
        </w:rPr>
        <w:t>Communication paradigms:</w:t>
      </w:r>
    </w:p>
    <w:p>
      <w:pPr>
        <w:pStyle w:val="ListBullet"/>
        <w:spacing w:after="40"/>
      </w:pPr>
      <w:r>
        <w:rPr>
          <w:rFonts w:ascii="Times New Roman" w:hAnsi="Times New Roman"/>
          <w:b w:val="0"/>
          <w:i w:val="0"/>
          <w:color w:val="1F2937"/>
          <w:sz w:val="22"/>
        </w:rPr>
        <w:t>Inter-process communication: low-level send/receive, sockets, multicast.</w:t>
      </w:r>
    </w:p>
    <w:p>
      <w:pPr>
        <w:pStyle w:val="ListBullet"/>
        <w:spacing w:after="40"/>
      </w:pPr>
      <w:r>
        <w:rPr>
          <w:rFonts w:ascii="Times New Roman" w:hAnsi="Times New Roman"/>
          <w:b w:val="0"/>
          <w:i w:val="0"/>
          <w:color w:val="1F2937"/>
          <w:sz w:val="22"/>
        </w:rPr>
        <w:t>Remote invocation: a client calls a procedure or method on another machine (RPC/RMI) as if it were local — suitable for “get stock of item X”.</w:t>
      </w:r>
    </w:p>
    <w:p>
      <w:pPr>
        <w:pStyle w:val="ListBullet"/>
        <w:spacing w:after="40"/>
      </w:pPr>
      <w:r>
        <w:rPr>
          <w:rFonts w:ascii="Times New Roman" w:hAnsi="Times New Roman"/>
          <w:b w:val="0"/>
          <w:i w:val="0"/>
          <w:color w:val="1F2937"/>
          <w:sz w:val="22"/>
        </w:rPr>
        <w:t>Indirect communication: parties do not address each other directly — message queues, publish–subscribe, group communication. Useful when a warehouse or link is down.</w:t>
      </w:r>
    </w:p>
    <w:p>
      <w:pPr>
        <w:spacing w:before="0" w:after="120"/>
      </w:pPr>
      <w:r>
        <w:rPr>
          <w:rFonts w:ascii="Times New Roman" w:hAnsi="Times New Roman"/>
          <w:b w:val="0"/>
          <w:i w:val="0"/>
          <w:color w:val="1F2937"/>
          <w:sz w:val="22"/>
        </w:rPr>
        <w:t>Caching: keep a copy of recently used data closer to the user (branch copy of prices and loyalty). Benefits: faster tills, less load on head office, service continues if the link is slow. Cost: copies go stale, as in the pilot. A cache must have a freshness rule (time-to-live, invalidate on update, or version numbers) and a policy for what happens when the network fails.</w:t>
      </w:r>
    </w:p>
    <w:p>
      <w:r>
        <w:br w:type="page"/>
      </w:r>
    </w:p>
    <w:p>
      <w:pPr>
        <w:spacing w:before="240" w:after="120"/>
      </w:pPr>
      <w:r>
        <w:rPr>
          <w:rFonts w:ascii="Times New Roman" w:hAnsi="Times New Roman"/>
          <w:b/>
          <w:i w:val="0"/>
          <w:color w:val="1F4E79"/>
          <w:sz w:val="26"/>
        </w:rPr>
        <w:t>SECTION B — ATTEMPT ANY TWO (50 MARKS)</w:t>
      </w:r>
    </w:p>
    <w:p>
      <w:pPr>
        <w:spacing w:before="240" w:after="120"/>
      </w:pPr>
      <w:r>
        <w:rPr>
          <w:rFonts w:ascii="Times New Roman" w:hAnsi="Times New Roman"/>
          <w:b/>
          <w:i w:val="0"/>
          <w:color w:val="1F4E79"/>
          <w:sz w:val="26"/>
        </w:rPr>
        <w:t>QUESTION TWO — MedConnect Health (25 Marks)</w:t>
      </w:r>
    </w:p>
    <w:p>
      <w:pPr>
        <w:spacing w:before="160" w:after="80"/>
      </w:pPr>
      <w:r>
        <w:rPr>
          <w:rFonts w:ascii="Times New Roman" w:hAnsi="Times New Roman"/>
          <w:b/>
          <w:i w:val="0"/>
          <w:color w:val="1F4E79"/>
          <w:sz w:val="24"/>
        </w:rPr>
        <w:t>a) Cloud model; NIST definition; two essential characteristics (7 marks)</w:t>
      </w:r>
    </w:p>
    <w:p>
      <w:pPr>
        <w:spacing w:before="0" w:after="80"/>
      </w:pPr>
      <w:r>
        <w:rPr>
          <w:rFonts w:ascii="Times New Roman" w:hAnsi="Times New Roman"/>
          <w:b w:val="0"/>
          <w:i w:val="0"/>
          <w:color w:val="1F2937"/>
          <w:sz w:val="22"/>
        </w:rPr>
        <w:t>Diagram (draw and label): Front end = MedConnect users (clinics, staff, mobile app) and their browsers/devices. Middle = the Internet. Back end = the provider’s data centre: virtual servers, storage, development platform, email and collaboration applications, management and billing.</w:t>
      </w:r>
    </w:p>
    <w:p>
      <w:pPr>
        <w:spacing w:before="0" w:after="80"/>
      </w:pPr>
      <w:r>
        <w:rPr>
          <w:rFonts w:ascii="Times New Roman" w:hAnsi="Times New Roman"/>
          <w:b w:val="0"/>
          <w:i w:val="0"/>
          <w:color w:val="1F2937"/>
          <w:sz w:val="22"/>
        </w:rPr>
        <w:t>NIST: Cloud computing is a model for enabling ubiquitous, convenient, on-demand network access to a shared pool of configurable computing resources (networks, servers, storage, applications, services) that can be rapidly provisioned and released with minimal management effort or service-provider interaction.</w:t>
      </w:r>
    </w:p>
    <w:p>
      <w:pPr>
        <w:spacing w:before="0" w:after="40"/>
      </w:pPr>
      <w:r>
        <w:rPr>
          <w:rFonts w:ascii="Times New Roman" w:hAnsi="Times New Roman"/>
          <w:b/>
          <w:i w:val="0"/>
          <w:color w:val="1F2937"/>
          <w:sz w:val="22"/>
        </w:rPr>
        <w:t>Any two of the five essential characteristics:</w:t>
      </w:r>
    </w:p>
    <w:p>
      <w:pPr>
        <w:pStyle w:val="ListBullet"/>
        <w:spacing w:after="40"/>
      </w:pPr>
      <w:r>
        <w:rPr>
          <w:rFonts w:ascii="Times New Roman" w:hAnsi="Times New Roman"/>
          <w:b w:val="0"/>
          <w:i w:val="0"/>
          <w:color w:val="1F2937"/>
          <w:sz w:val="22"/>
        </w:rPr>
        <w:t>On-demand self-service: MedConnect can request extra virtual servers without a long IT purchase cycle.</w:t>
      </w:r>
    </w:p>
    <w:p>
      <w:pPr>
        <w:pStyle w:val="ListBullet"/>
        <w:spacing w:after="40"/>
      </w:pPr>
      <w:r>
        <w:rPr>
          <w:rFonts w:ascii="Times New Roman" w:hAnsi="Times New Roman"/>
          <w:b w:val="0"/>
          <w:i w:val="0"/>
          <w:color w:val="1F2937"/>
          <w:sz w:val="22"/>
        </w:rPr>
        <w:t>Broad network access: clinics and the mobile app reach services over the internet.</w:t>
      </w:r>
    </w:p>
    <w:p>
      <w:pPr>
        <w:pStyle w:val="ListBullet"/>
        <w:spacing w:after="40"/>
      </w:pPr>
      <w:r>
        <w:rPr>
          <w:rFonts w:ascii="Times New Roman" w:hAnsi="Times New Roman"/>
          <w:b w:val="0"/>
          <w:i w:val="0"/>
          <w:color w:val="1F2937"/>
          <w:sz w:val="22"/>
        </w:rPr>
        <w:t>Resource pooling: many customers share the provider’s machines (multi-tenancy).</w:t>
      </w:r>
    </w:p>
    <w:p>
      <w:pPr>
        <w:pStyle w:val="ListBullet"/>
        <w:spacing w:after="40"/>
      </w:pPr>
      <w:r>
        <w:rPr>
          <w:rFonts w:ascii="Times New Roman" w:hAnsi="Times New Roman"/>
          <w:b w:val="0"/>
          <w:i w:val="0"/>
          <w:color w:val="1F2937"/>
          <w:sz w:val="22"/>
        </w:rPr>
        <w:t>Rapid elasticity: capacity rises for the insurance-claims peak and falls afterwards.</w:t>
      </w:r>
    </w:p>
    <w:p>
      <w:pPr>
        <w:pStyle w:val="ListBullet"/>
        <w:spacing w:after="40"/>
      </w:pPr>
      <w:r>
        <w:rPr>
          <w:rFonts w:ascii="Times New Roman" w:hAnsi="Times New Roman"/>
          <w:b w:val="0"/>
          <w:i w:val="0"/>
          <w:color w:val="1F2937"/>
          <w:sz w:val="22"/>
        </w:rPr>
        <w:t>Measured service: use is metered and billed (the CFO’s monthly charges instead of buying servers).</w:t>
      </w:r>
    </w:p>
    <w:p>
      <w:pPr>
        <w:spacing w:before="160" w:after="80"/>
      </w:pPr>
      <w:r>
        <w:rPr>
          <w:rFonts w:ascii="Times New Roman" w:hAnsi="Times New Roman"/>
          <w:b/>
          <w:i w:val="0"/>
          <w:color w:val="1F4E79"/>
          <w:sz w:val="24"/>
        </w:rPr>
        <w:t>b) Figure 1 shading; public / private / hybrid; recommendation (8 marks)</w:t>
      </w:r>
    </w:p>
    <w:p>
      <w:pPr>
        <w:spacing w:before="0" w:after="40"/>
      </w:pPr>
      <w:r>
        <w:rPr>
          <w:rFonts w:ascii="Times New Roman" w:hAnsi="Times New Roman"/>
          <w:b w:val="0"/>
          <w:i w:val="0"/>
          <w:color w:val="1F2937"/>
          <w:sz w:val="22"/>
        </w:rPr>
        <w:t>Shade the layers the customer manages (leave provider-managed layers blank):</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shd w:fill="1F4E79" w:val="clear"/>
          </w:tcPr>
          <w:p>
            <w:r/>
            <w:r>
              <w:rPr>
                <w:rFonts w:ascii="Times New Roman" w:hAnsi="Times New Roman"/>
                <w:b/>
                <w:i w:val="0"/>
                <w:color w:val="FFFFFF"/>
                <w:sz w:val="20"/>
              </w:rPr>
              <w:t>Layer</w:t>
            </w:r>
          </w:p>
        </w:tc>
        <w:tc>
          <w:tcPr>
            <w:tcW w:type="dxa" w:w="2040"/>
            <w:shd w:fill="1F4E79" w:val="clear"/>
          </w:tcPr>
          <w:p>
            <w:r/>
            <w:r>
              <w:rPr>
                <w:rFonts w:ascii="Times New Roman" w:hAnsi="Times New Roman"/>
                <w:b/>
                <w:i w:val="0"/>
                <w:color w:val="FFFFFF"/>
                <w:sz w:val="20"/>
              </w:rPr>
              <w:t>On-premise</w:t>
            </w:r>
          </w:p>
        </w:tc>
        <w:tc>
          <w:tcPr>
            <w:tcW w:type="dxa" w:w="2040"/>
            <w:shd w:fill="1F4E79" w:val="clear"/>
          </w:tcPr>
          <w:p>
            <w:r/>
            <w:r>
              <w:rPr>
                <w:rFonts w:ascii="Times New Roman" w:hAnsi="Times New Roman"/>
                <w:b/>
                <w:i w:val="0"/>
                <w:color w:val="FFFFFF"/>
                <w:sz w:val="20"/>
              </w:rPr>
              <w:t>IaaS</w:t>
            </w:r>
          </w:p>
        </w:tc>
        <w:tc>
          <w:tcPr>
            <w:tcW w:type="dxa" w:w="2040"/>
            <w:shd w:fill="1F4E79" w:val="clear"/>
          </w:tcPr>
          <w:p>
            <w:r/>
            <w:r>
              <w:rPr>
                <w:rFonts w:ascii="Times New Roman" w:hAnsi="Times New Roman"/>
                <w:b/>
                <w:i w:val="0"/>
                <w:color w:val="FFFFFF"/>
                <w:sz w:val="20"/>
              </w:rPr>
              <w:t>PaaS</w:t>
            </w:r>
          </w:p>
        </w:tc>
        <w:tc>
          <w:tcPr>
            <w:tcW w:type="dxa" w:w="2040"/>
            <w:shd w:fill="1F4E79" w:val="clear"/>
          </w:tcPr>
          <w:p>
            <w:r/>
            <w:r>
              <w:rPr>
                <w:rFonts w:ascii="Times New Roman" w:hAnsi="Times New Roman"/>
                <w:b/>
                <w:i w:val="0"/>
                <w:color w:val="FFFFFF"/>
                <w:sz w:val="20"/>
              </w:rPr>
              <w:t>SaaS</w:t>
            </w:r>
          </w:p>
        </w:tc>
      </w:tr>
      <w:tr>
        <w:tc>
          <w:tcPr>
            <w:tcW w:type="dxa" w:w="2040"/>
          </w:tcPr>
          <w:p>
            <w:r/>
            <w:r>
              <w:rPr>
                <w:rFonts w:ascii="Times New Roman" w:hAnsi="Times New Roman"/>
                <w:b w:val="0"/>
                <w:i w:val="0"/>
                <w:color w:val="1F2937"/>
                <w:sz w:val="20"/>
              </w:rPr>
              <w:t>Data</w:t>
            </w:r>
          </w:p>
        </w:tc>
        <w:tc>
          <w:tcPr>
            <w:tcW w:type="dxa" w:w="2040"/>
          </w:tcPr>
          <w:p>
            <w:r/>
            <w:r>
              <w:rPr>
                <w:rFonts w:ascii="Times New Roman" w:hAnsi="Times New Roman"/>
                <w:b w:val="0"/>
                <w:i w:val="0"/>
                <w:color w:val="1F2937"/>
                <w:sz w:val="20"/>
              </w:rPr>
              <w:t>Customer</w:t>
            </w:r>
          </w:p>
        </w:tc>
        <w:tc>
          <w:tcPr>
            <w:tcW w:type="dxa" w:w="2040"/>
          </w:tcPr>
          <w:p>
            <w:r/>
            <w:r>
              <w:rPr>
                <w:rFonts w:ascii="Times New Roman" w:hAnsi="Times New Roman"/>
                <w:b w:val="0"/>
                <w:i w:val="0"/>
                <w:color w:val="1F2937"/>
                <w:sz w:val="20"/>
              </w:rPr>
              <w:t>Customer</w:t>
            </w:r>
          </w:p>
        </w:tc>
        <w:tc>
          <w:tcPr>
            <w:tcW w:type="dxa" w:w="2040"/>
          </w:tcPr>
          <w:p>
            <w:r/>
            <w:r>
              <w:rPr>
                <w:rFonts w:ascii="Times New Roman" w:hAnsi="Times New Roman"/>
                <w:b w:val="0"/>
                <w:i w:val="0"/>
                <w:color w:val="1F2937"/>
                <w:sz w:val="20"/>
              </w:rPr>
              <w:t>Customer</w:t>
            </w:r>
          </w:p>
        </w:tc>
        <w:tc>
          <w:tcPr>
            <w:tcW w:type="dxa" w:w="2040"/>
          </w:tcPr>
          <w:p>
            <w:r/>
            <w:r>
              <w:rPr>
                <w:rFonts w:ascii="Times New Roman" w:hAnsi="Times New Roman"/>
                <w:b w:val="0"/>
                <w:i w:val="0"/>
                <w:color w:val="1F2937"/>
                <w:sz w:val="20"/>
              </w:rPr>
              <w:t>Provider</w:t>
            </w:r>
          </w:p>
        </w:tc>
      </w:tr>
      <w:tr>
        <w:tc>
          <w:tcPr>
            <w:tcW w:type="dxa" w:w="2040"/>
          </w:tcPr>
          <w:p>
            <w:r/>
            <w:r>
              <w:rPr>
                <w:rFonts w:ascii="Times New Roman" w:hAnsi="Times New Roman"/>
                <w:b w:val="0"/>
                <w:i w:val="0"/>
                <w:color w:val="1F2937"/>
                <w:sz w:val="20"/>
              </w:rPr>
              <w:t>Applications</w:t>
            </w:r>
          </w:p>
        </w:tc>
        <w:tc>
          <w:tcPr>
            <w:tcW w:type="dxa" w:w="2040"/>
          </w:tcPr>
          <w:p>
            <w:r/>
            <w:r>
              <w:rPr>
                <w:rFonts w:ascii="Times New Roman" w:hAnsi="Times New Roman"/>
                <w:b w:val="0"/>
                <w:i w:val="0"/>
                <w:color w:val="1F2937"/>
                <w:sz w:val="20"/>
              </w:rPr>
              <w:t>Customer</w:t>
            </w:r>
          </w:p>
        </w:tc>
        <w:tc>
          <w:tcPr>
            <w:tcW w:type="dxa" w:w="2040"/>
          </w:tcPr>
          <w:p>
            <w:r/>
            <w:r>
              <w:rPr>
                <w:rFonts w:ascii="Times New Roman" w:hAnsi="Times New Roman"/>
                <w:b w:val="0"/>
                <w:i w:val="0"/>
                <w:color w:val="1F2937"/>
                <w:sz w:val="20"/>
              </w:rPr>
              <w:t>Customer</w:t>
            </w:r>
          </w:p>
        </w:tc>
        <w:tc>
          <w:tcPr>
            <w:tcW w:type="dxa" w:w="2040"/>
          </w:tcPr>
          <w:p>
            <w:r/>
            <w:r>
              <w:rPr>
                <w:rFonts w:ascii="Times New Roman" w:hAnsi="Times New Roman"/>
                <w:b w:val="0"/>
                <w:i w:val="0"/>
                <w:color w:val="1F2937"/>
                <w:sz w:val="20"/>
              </w:rPr>
              <w:t>Customer</w:t>
            </w:r>
          </w:p>
        </w:tc>
        <w:tc>
          <w:tcPr>
            <w:tcW w:type="dxa" w:w="2040"/>
          </w:tcPr>
          <w:p>
            <w:r/>
            <w:r>
              <w:rPr>
                <w:rFonts w:ascii="Times New Roman" w:hAnsi="Times New Roman"/>
                <w:b w:val="0"/>
                <w:i w:val="0"/>
                <w:color w:val="1F2937"/>
                <w:sz w:val="20"/>
              </w:rPr>
              <w:t>Provider</w:t>
            </w:r>
          </w:p>
        </w:tc>
      </w:tr>
      <w:tr>
        <w:tc>
          <w:tcPr>
            <w:tcW w:type="dxa" w:w="2040"/>
          </w:tcPr>
          <w:p>
            <w:r/>
            <w:r>
              <w:rPr>
                <w:rFonts w:ascii="Times New Roman" w:hAnsi="Times New Roman"/>
                <w:b w:val="0"/>
                <w:i w:val="0"/>
                <w:color w:val="1F2937"/>
                <w:sz w:val="20"/>
              </w:rPr>
              <w:t>Runtime</w:t>
            </w:r>
          </w:p>
        </w:tc>
        <w:tc>
          <w:tcPr>
            <w:tcW w:type="dxa" w:w="2040"/>
          </w:tcPr>
          <w:p>
            <w:r/>
            <w:r>
              <w:rPr>
                <w:rFonts w:ascii="Times New Roman" w:hAnsi="Times New Roman"/>
                <w:b w:val="0"/>
                <w:i w:val="0"/>
                <w:color w:val="1F2937"/>
                <w:sz w:val="20"/>
              </w:rPr>
              <w:t>Customer</w:t>
            </w:r>
          </w:p>
        </w:tc>
        <w:tc>
          <w:tcPr>
            <w:tcW w:type="dxa" w:w="2040"/>
          </w:tcPr>
          <w:p>
            <w:r/>
            <w:r>
              <w:rPr>
                <w:rFonts w:ascii="Times New Roman" w:hAnsi="Times New Roman"/>
                <w:b w:val="0"/>
                <w:i w:val="0"/>
                <w:color w:val="1F2937"/>
                <w:sz w:val="20"/>
              </w:rPr>
              <w:t>Customer</w:t>
            </w:r>
          </w:p>
        </w:tc>
        <w:tc>
          <w:tcPr>
            <w:tcW w:type="dxa" w:w="2040"/>
          </w:tcPr>
          <w:p>
            <w:r/>
            <w:r>
              <w:rPr>
                <w:rFonts w:ascii="Times New Roman" w:hAnsi="Times New Roman"/>
                <w:b w:val="0"/>
                <w:i w:val="0"/>
                <w:color w:val="1F2937"/>
                <w:sz w:val="20"/>
              </w:rPr>
              <w:t>Provider</w:t>
            </w:r>
          </w:p>
        </w:tc>
        <w:tc>
          <w:tcPr>
            <w:tcW w:type="dxa" w:w="2040"/>
          </w:tcPr>
          <w:p>
            <w:r/>
            <w:r>
              <w:rPr>
                <w:rFonts w:ascii="Times New Roman" w:hAnsi="Times New Roman"/>
                <w:b w:val="0"/>
                <w:i w:val="0"/>
                <w:color w:val="1F2937"/>
                <w:sz w:val="20"/>
              </w:rPr>
              <w:t>Provider</w:t>
            </w:r>
          </w:p>
        </w:tc>
      </w:tr>
      <w:tr>
        <w:tc>
          <w:tcPr>
            <w:tcW w:type="dxa" w:w="2040"/>
          </w:tcPr>
          <w:p>
            <w:r/>
            <w:r>
              <w:rPr>
                <w:rFonts w:ascii="Times New Roman" w:hAnsi="Times New Roman"/>
                <w:b w:val="0"/>
                <w:i w:val="0"/>
                <w:color w:val="1F2937"/>
                <w:sz w:val="20"/>
              </w:rPr>
              <w:t>Middleware</w:t>
            </w:r>
          </w:p>
        </w:tc>
        <w:tc>
          <w:tcPr>
            <w:tcW w:type="dxa" w:w="2040"/>
          </w:tcPr>
          <w:p>
            <w:r/>
            <w:r>
              <w:rPr>
                <w:rFonts w:ascii="Times New Roman" w:hAnsi="Times New Roman"/>
                <w:b w:val="0"/>
                <w:i w:val="0"/>
                <w:color w:val="1F2937"/>
                <w:sz w:val="20"/>
              </w:rPr>
              <w:t>Customer</w:t>
            </w:r>
          </w:p>
        </w:tc>
        <w:tc>
          <w:tcPr>
            <w:tcW w:type="dxa" w:w="2040"/>
          </w:tcPr>
          <w:p>
            <w:r/>
            <w:r>
              <w:rPr>
                <w:rFonts w:ascii="Times New Roman" w:hAnsi="Times New Roman"/>
                <w:b w:val="0"/>
                <w:i w:val="0"/>
                <w:color w:val="1F2937"/>
                <w:sz w:val="20"/>
              </w:rPr>
              <w:t>Customer</w:t>
            </w:r>
          </w:p>
        </w:tc>
        <w:tc>
          <w:tcPr>
            <w:tcW w:type="dxa" w:w="2040"/>
          </w:tcPr>
          <w:p>
            <w:r/>
            <w:r>
              <w:rPr>
                <w:rFonts w:ascii="Times New Roman" w:hAnsi="Times New Roman"/>
                <w:b w:val="0"/>
                <w:i w:val="0"/>
                <w:color w:val="1F2937"/>
                <w:sz w:val="20"/>
              </w:rPr>
              <w:t>Provider</w:t>
            </w:r>
          </w:p>
        </w:tc>
        <w:tc>
          <w:tcPr>
            <w:tcW w:type="dxa" w:w="2040"/>
          </w:tcPr>
          <w:p>
            <w:r/>
            <w:r>
              <w:rPr>
                <w:rFonts w:ascii="Times New Roman" w:hAnsi="Times New Roman"/>
                <w:b w:val="0"/>
                <w:i w:val="0"/>
                <w:color w:val="1F2937"/>
                <w:sz w:val="20"/>
              </w:rPr>
              <w:t>Provider</w:t>
            </w:r>
          </w:p>
        </w:tc>
      </w:tr>
      <w:tr>
        <w:tc>
          <w:tcPr>
            <w:tcW w:type="dxa" w:w="2040"/>
          </w:tcPr>
          <w:p>
            <w:r/>
            <w:r>
              <w:rPr>
                <w:rFonts w:ascii="Times New Roman" w:hAnsi="Times New Roman"/>
                <w:b w:val="0"/>
                <w:i w:val="0"/>
                <w:color w:val="1F2937"/>
                <w:sz w:val="20"/>
              </w:rPr>
              <w:t>OS</w:t>
            </w:r>
          </w:p>
        </w:tc>
        <w:tc>
          <w:tcPr>
            <w:tcW w:type="dxa" w:w="2040"/>
          </w:tcPr>
          <w:p>
            <w:r/>
            <w:r>
              <w:rPr>
                <w:rFonts w:ascii="Times New Roman" w:hAnsi="Times New Roman"/>
                <w:b w:val="0"/>
                <w:i w:val="0"/>
                <w:color w:val="1F2937"/>
                <w:sz w:val="20"/>
              </w:rPr>
              <w:t>Customer</w:t>
            </w:r>
          </w:p>
        </w:tc>
        <w:tc>
          <w:tcPr>
            <w:tcW w:type="dxa" w:w="2040"/>
          </w:tcPr>
          <w:p>
            <w:r/>
            <w:r>
              <w:rPr>
                <w:rFonts w:ascii="Times New Roman" w:hAnsi="Times New Roman"/>
                <w:b w:val="0"/>
                <w:i w:val="0"/>
                <w:color w:val="1F2937"/>
                <w:sz w:val="20"/>
              </w:rPr>
              <w:t>Customer</w:t>
            </w:r>
          </w:p>
        </w:tc>
        <w:tc>
          <w:tcPr>
            <w:tcW w:type="dxa" w:w="2040"/>
          </w:tcPr>
          <w:p>
            <w:r/>
            <w:r>
              <w:rPr>
                <w:rFonts w:ascii="Times New Roman" w:hAnsi="Times New Roman"/>
                <w:b w:val="0"/>
                <w:i w:val="0"/>
                <w:color w:val="1F2937"/>
                <w:sz w:val="20"/>
              </w:rPr>
              <w:t>Provider</w:t>
            </w:r>
          </w:p>
        </w:tc>
        <w:tc>
          <w:tcPr>
            <w:tcW w:type="dxa" w:w="2040"/>
          </w:tcPr>
          <w:p>
            <w:r/>
            <w:r>
              <w:rPr>
                <w:rFonts w:ascii="Times New Roman" w:hAnsi="Times New Roman"/>
                <w:b w:val="0"/>
                <w:i w:val="0"/>
                <w:color w:val="1F2937"/>
                <w:sz w:val="20"/>
              </w:rPr>
              <w:t>Provider</w:t>
            </w:r>
          </w:p>
        </w:tc>
      </w:tr>
      <w:tr>
        <w:tc>
          <w:tcPr>
            <w:tcW w:type="dxa" w:w="2040"/>
          </w:tcPr>
          <w:p>
            <w:r/>
            <w:r>
              <w:rPr>
                <w:rFonts w:ascii="Times New Roman" w:hAnsi="Times New Roman"/>
                <w:b w:val="0"/>
                <w:i w:val="0"/>
                <w:color w:val="1F2937"/>
                <w:sz w:val="20"/>
              </w:rPr>
              <w:t>Virtualization</w:t>
            </w:r>
          </w:p>
        </w:tc>
        <w:tc>
          <w:tcPr>
            <w:tcW w:type="dxa" w:w="2040"/>
          </w:tcPr>
          <w:p>
            <w:r/>
            <w:r>
              <w:rPr>
                <w:rFonts w:ascii="Times New Roman" w:hAnsi="Times New Roman"/>
                <w:b w:val="0"/>
                <w:i w:val="0"/>
                <w:color w:val="1F2937"/>
                <w:sz w:val="20"/>
              </w:rPr>
              <w:t>Customer</w:t>
            </w:r>
          </w:p>
        </w:tc>
        <w:tc>
          <w:tcPr>
            <w:tcW w:type="dxa" w:w="2040"/>
          </w:tcPr>
          <w:p>
            <w:r/>
            <w:r>
              <w:rPr>
                <w:rFonts w:ascii="Times New Roman" w:hAnsi="Times New Roman"/>
                <w:b w:val="0"/>
                <w:i w:val="0"/>
                <w:color w:val="1F2937"/>
                <w:sz w:val="20"/>
              </w:rPr>
              <w:t>Provider</w:t>
            </w:r>
          </w:p>
        </w:tc>
        <w:tc>
          <w:tcPr>
            <w:tcW w:type="dxa" w:w="2040"/>
          </w:tcPr>
          <w:p>
            <w:r/>
            <w:r>
              <w:rPr>
                <w:rFonts w:ascii="Times New Roman" w:hAnsi="Times New Roman"/>
                <w:b w:val="0"/>
                <w:i w:val="0"/>
                <w:color w:val="1F2937"/>
                <w:sz w:val="20"/>
              </w:rPr>
              <w:t>Provider</w:t>
            </w:r>
          </w:p>
        </w:tc>
        <w:tc>
          <w:tcPr>
            <w:tcW w:type="dxa" w:w="2040"/>
          </w:tcPr>
          <w:p>
            <w:r/>
            <w:r>
              <w:rPr>
                <w:rFonts w:ascii="Times New Roman" w:hAnsi="Times New Roman"/>
                <w:b w:val="0"/>
                <w:i w:val="0"/>
                <w:color w:val="1F2937"/>
                <w:sz w:val="20"/>
              </w:rPr>
              <w:t>Provider</w:t>
            </w:r>
          </w:p>
        </w:tc>
      </w:tr>
      <w:tr>
        <w:tc>
          <w:tcPr>
            <w:tcW w:type="dxa" w:w="2040"/>
          </w:tcPr>
          <w:p>
            <w:r/>
            <w:r>
              <w:rPr>
                <w:rFonts w:ascii="Times New Roman" w:hAnsi="Times New Roman"/>
                <w:b w:val="0"/>
                <w:i w:val="0"/>
                <w:color w:val="1F2937"/>
                <w:sz w:val="20"/>
              </w:rPr>
              <w:t>Servers</w:t>
            </w:r>
          </w:p>
        </w:tc>
        <w:tc>
          <w:tcPr>
            <w:tcW w:type="dxa" w:w="2040"/>
          </w:tcPr>
          <w:p>
            <w:r/>
            <w:r>
              <w:rPr>
                <w:rFonts w:ascii="Times New Roman" w:hAnsi="Times New Roman"/>
                <w:b w:val="0"/>
                <w:i w:val="0"/>
                <w:color w:val="1F2937"/>
                <w:sz w:val="20"/>
              </w:rPr>
              <w:t>Customer</w:t>
            </w:r>
          </w:p>
        </w:tc>
        <w:tc>
          <w:tcPr>
            <w:tcW w:type="dxa" w:w="2040"/>
          </w:tcPr>
          <w:p>
            <w:r/>
            <w:r>
              <w:rPr>
                <w:rFonts w:ascii="Times New Roman" w:hAnsi="Times New Roman"/>
                <w:b w:val="0"/>
                <w:i w:val="0"/>
                <w:color w:val="1F2937"/>
                <w:sz w:val="20"/>
              </w:rPr>
              <w:t>Provider</w:t>
            </w:r>
          </w:p>
        </w:tc>
        <w:tc>
          <w:tcPr>
            <w:tcW w:type="dxa" w:w="2040"/>
          </w:tcPr>
          <w:p>
            <w:r/>
            <w:r>
              <w:rPr>
                <w:rFonts w:ascii="Times New Roman" w:hAnsi="Times New Roman"/>
                <w:b w:val="0"/>
                <w:i w:val="0"/>
                <w:color w:val="1F2937"/>
                <w:sz w:val="20"/>
              </w:rPr>
              <w:t>Provider</w:t>
            </w:r>
          </w:p>
        </w:tc>
        <w:tc>
          <w:tcPr>
            <w:tcW w:type="dxa" w:w="2040"/>
          </w:tcPr>
          <w:p>
            <w:r/>
            <w:r>
              <w:rPr>
                <w:rFonts w:ascii="Times New Roman" w:hAnsi="Times New Roman"/>
                <w:b w:val="0"/>
                <w:i w:val="0"/>
                <w:color w:val="1F2937"/>
                <w:sz w:val="20"/>
              </w:rPr>
              <w:t>Provider</w:t>
            </w:r>
          </w:p>
        </w:tc>
      </w:tr>
      <w:tr>
        <w:tc>
          <w:tcPr>
            <w:tcW w:type="dxa" w:w="2040"/>
          </w:tcPr>
          <w:p>
            <w:r/>
            <w:r>
              <w:rPr>
                <w:rFonts w:ascii="Times New Roman" w:hAnsi="Times New Roman"/>
                <w:b w:val="0"/>
                <w:i w:val="0"/>
                <w:color w:val="1F2937"/>
                <w:sz w:val="20"/>
              </w:rPr>
              <w:t>Storage</w:t>
            </w:r>
          </w:p>
        </w:tc>
        <w:tc>
          <w:tcPr>
            <w:tcW w:type="dxa" w:w="2040"/>
          </w:tcPr>
          <w:p>
            <w:r/>
            <w:r>
              <w:rPr>
                <w:rFonts w:ascii="Times New Roman" w:hAnsi="Times New Roman"/>
                <w:b w:val="0"/>
                <w:i w:val="0"/>
                <w:color w:val="1F2937"/>
                <w:sz w:val="20"/>
              </w:rPr>
              <w:t>Customer</w:t>
            </w:r>
          </w:p>
        </w:tc>
        <w:tc>
          <w:tcPr>
            <w:tcW w:type="dxa" w:w="2040"/>
          </w:tcPr>
          <w:p>
            <w:r/>
            <w:r>
              <w:rPr>
                <w:rFonts w:ascii="Times New Roman" w:hAnsi="Times New Roman"/>
                <w:b w:val="0"/>
                <w:i w:val="0"/>
                <w:color w:val="1F2937"/>
                <w:sz w:val="20"/>
              </w:rPr>
              <w:t>Provider</w:t>
            </w:r>
          </w:p>
        </w:tc>
        <w:tc>
          <w:tcPr>
            <w:tcW w:type="dxa" w:w="2040"/>
          </w:tcPr>
          <w:p>
            <w:r/>
            <w:r>
              <w:rPr>
                <w:rFonts w:ascii="Times New Roman" w:hAnsi="Times New Roman"/>
                <w:b w:val="0"/>
                <w:i w:val="0"/>
                <w:color w:val="1F2937"/>
                <w:sz w:val="20"/>
              </w:rPr>
              <w:t>Provider</w:t>
            </w:r>
          </w:p>
        </w:tc>
        <w:tc>
          <w:tcPr>
            <w:tcW w:type="dxa" w:w="2040"/>
          </w:tcPr>
          <w:p>
            <w:r/>
            <w:r>
              <w:rPr>
                <w:rFonts w:ascii="Times New Roman" w:hAnsi="Times New Roman"/>
                <w:b w:val="0"/>
                <w:i w:val="0"/>
                <w:color w:val="1F2937"/>
                <w:sz w:val="20"/>
              </w:rPr>
              <w:t>Provider</w:t>
            </w:r>
          </w:p>
        </w:tc>
      </w:tr>
      <w:tr>
        <w:tc>
          <w:tcPr>
            <w:tcW w:type="dxa" w:w="2040"/>
          </w:tcPr>
          <w:p>
            <w:r/>
            <w:r>
              <w:rPr>
                <w:rFonts w:ascii="Times New Roman" w:hAnsi="Times New Roman"/>
                <w:b w:val="0"/>
                <w:i w:val="0"/>
                <w:color w:val="1F2937"/>
                <w:sz w:val="20"/>
              </w:rPr>
              <w:t>Networking</w:t>
            </w:r>
          </w:p>
        </w:tc>
        <w:tc>
          <w:tcPr>
            <w:tcW w:type="dxa" w:w="2040"/>
          </w:tcPr>
          <w:p>
            <w:r/>
            <w:r>
              <w:rPr>
                <w:rFonts w:ascii="Times New Roman" w:hAnsi="Times New Roman"/>
                <w:b w:val="0"/>
                <w:i w:val="0"/>
                <w:color w:val="1F2937"/>
                <w:sz w:val="20"/>
              </w:rPr>
              <w:t>Customer</w:t>
            </w:r>
          </w:p>
        </w:tc>
        <w:tc>
          <w:tcPr>
            <w:tcW w:type="dxa" w:w="2040"/>
          </w:tcPr>
          <w:p>
            <w:r/>
            <w:r>
              <w:rPr>
                <w:rFonts w:ascii="Times New Roman" w:hAnsi="Times New Roman"/>
                <w:b w:val="0"/>
                <w:i w:val="0"/>
                <w:color w:val="1F2937"/>
                <w:sz w:val="20"/>
              </w:rPr>
              <w:t>Provider</w:t>
            </w:r>
          </w:p>
        </w:tc>
        <w:tc>
          <w:tcPr>
            <w:tcW w:type="dxa" w:w="2040"/>
          </w:tcPr>
          <w:p>
            <w:r/>
            <w:r>
              <w:rPr>
                <w:rFonts w:ascii="Times New Roman" w:hAnsi="Times New Roman"/>
                <w:b w:val="0"/>
                <w:i w:val="0"/>
                <w:color w:val="1F2937"/>
                <w:sz w:val="20"/>
              </w:rPr>
              <w:t>Provider</w:t>
            </w:r>
          </w:p>
        </w:tc>
        <w:tc>
          <w:tcPr>
            <w:tcW w:type="dxa" w:w="2040"/>
          </w:tcPr>
          <w:p>
            <w:r/>
            <w:r>
              <w:rPr>
                <w:rFonts w:ascii="Times New Roman" w:hAnsi="Times New Roman"/>
                <w:b w:val="0"/>
                <w:i w:val="0"/>
                <w:color w:val="1F2937"/>
                <w:sz w:val="20"/>
              </w:rPr>
              <w:t>Provider</w:t>
            </w:r>
          </w:p>
        </w:tc>
      </w:tr>
    </w:tbl>
    <w:p/>
    <w:p>
      <w:pPr>
        <w:spacing w:before="0" w:after="80"/>
      </w:pPr>
      <w:r>
        <w:rPr>
          <w:rFonts w:ascii="Times New Roman" w:hAnsi="Times New Roman"/>
          <w:b w:val="0"/>
          <w:i w:val="0"/>
          <w:color w:val="1F2937"/>
          <w:sz w:val="22"/>
        </w:rPr>
        <w:t>Public cloud: shared provider infrastructure; lowest cost and fastest extra capacity; weaker control over where patient data sits.</w:t>
      </w:r>
    </w:p>
    <w:p>
      <w:pPr>
        <w:spacing w:before="0" w:after="80"/>
      </w:pPr>
      <w:r>
        <w:rPr>
          <w:rFonts w:ascii="Times New Roman" w:hAnsi="Times New Roman"/>
          <w:b w:val="0"/>
          <w:i w:val="0"/>
          <w:color w:val="1F2937"/>
          <w:sz w:val="22"/>
        </w:rPr>
        <w:t>Private cloud: infrastructure used only by MedConnect (own data centre or dedicated host); strongest control and law/compliance fit; higher cost, still need staff, slower to add peak capacity.</w:t>
      </w:r>
    </w:p>
    <w:p>
      <w:pPr>
        <w:spacing w:before="0" w:after="80"/>
      </w:pPr>
      <w:r>
        <w:rPr>
          <w:rFonts w:ascii="Times New Roman" w:hAnsi="Times New Roman"/>
          <w:b w:val="0"/>
          <w:i w:val="0"/>
          <w:color w:val="1F2937"/>
          <w:sz w:val="22"/>
        </w:rPr>
        <w:t>Hybrid cloud: keep sensitive systems in a private environment and burst or place less-sensitive work in a public cloud.</w:t>
      </w:r>
    </w:p>
    <w:p>
      <w:pPr>
        <w:spacing w:before="0" w:after="120"/>
      </w:pPr>
      <w:r>
        <w:rPr>
          <w:rFonts w:ascii="Times New Roman" w:hAnsi="Times New Roman"/>
          <w:b w:val="0"/>
          <w:i w:val="0"/>
          <w:color w:val="1F2937"/>
          <w:sz w:val="22"/>
        </w:rPr>
        <w:t>Recommendation: hybrid. Keep patient records and the proprietary billing system under MedConnect’s control (private/on-premise or a tightly contracted private host) because the law requires patient data to stay under the company’s control. Use public IaaS for extra virtual servers in the claims peak, and public PaaS/SaaS for email, collaboration and the mobile-app development platform so those are not delayed for months. Do not put the whole estate on one public SaaS provider.</w:t>
      </w:r>
    </w:p>
    <w:p>
      <w:pPr>
        <w:spacing w:before="160" w:after="80"/>
      </w:pPr>
      <w:r>
        <w:rPr>
          <w:rFonts w:ascii="Times New Roman" w:hAnsi="Times New Roman"/>
          <w:b/>
          <w:i w:val="0"/>
          <w:color w:val="1F4E79"/>
          <w:sz w:val="24"/>
        </w:rPr>
        <w:t>c) Cloud bursting; cost and agility; SLA credit; SLA purpose; migration; lock-in (10 marks)</w:t>
      </w:r>
    </w:p>
    <w:p>
      <w:pPr>
        <w:spacing w:before="0" w:after="80"/>
      </w:pPr>
      <w:r>
        <w:rPr>
          <w:rFonts w:ascii="Times New Roman" w:hAnsi="Times New Roman"/>
          <w:b w:val="0"/>
          <w:i w:val="0"/>
          <w:color w:val="1F2937"/>
          <w:sz w:val="22"/>
        </w:rPr>
        <w:t>Figure 2: installed capacity is a flat 60 servers. Demand sits near 25–30 from January to September, then rises in October and peaks in November–December around or above 60. Most of the year the extra servers are idle. Cloud bursting: keep a smaller private base (enough for normal months) and overflow the peak months to the public cloud, then release the extra machines in January.</w:t>
      </w:r>
    </w:p>
    <w:p>
      <w:pPr>
        <w:spacing w:before="0" w:after="80"/>
      </w:pPr>
      <w:r>
        <w:rPr>
          <w:rFonts w:ascii="Times New Roman" w:hAnsi="Times New Roman"/>
          <w:b w:val="0"/>
          <w:i w:val="0"/>
          <w:color w:val="1F2937"/>
          <w:sz w:val="22"/>
        </w:rPr>
        <w:t>Cost driver: stop buying and housing 60 servers all year for a few peak months; pay for extra capacity only when claims rise.</w:t>
      </w:r>
    </w:p>
    <w:p>
      <w:pPr>
        <w:spacing w:before="0" w:after="80"/>
      </w:pPr>
      <w:r>
        <w:rPr>
          <w:rFonts w:ascii="Times New Roman" w:hAnsi="Times New Roman"/>
          <w:b w:val="0"/>
          <w:i w:val="0"/>
          <w:color w:val="1F2937"/>
          <w:sz w:val="22"/>
        </w:rPr>
        <w:t>Agility driver: developers get a test server and a mobile-app platform in hours instead of waiting months for hardware, so new clinics and the app are not blocked.</w:t>
      </w:r>
    </w:p>
    <w:p>
      <w:pPr>
        <w:spacing w:before="0" w:after="80"/>
      </w:pPr>
      <w:r>
        <w:rPr>
          <w:rFonts w:ascii="Times New Roman" w:hAnsi="Times New Roman"/>
          <w:b w:val="0"/>
          <w:i w:val="0"/>
          <w:color w:val="1F2937"/>
          <w:sz w:val="22"/>
        </w:rPr>
        <w:t>Pilot SLA credit: commitment 99.5%. Actual 97.8% sits in the band 95.0% to below 99.0%, so the credit is 30% of that month’s charge for the test server. (99.0%–below 99.5% would have been 10%; below 95.0% would have been 100%.)</w:t>
      </w:r>
    </w:p>
    <w:p>
      <w:pPr>
        <w:spacing w:before="0" w:after="80"/>
      </w:pPr>
      <w:r>
        <w:rPr>
          <w:rFonts w:ascii="Times New Roman" w:hAnsi="Times New Roman"/>
          <w:b w:val="0"/>
          <w:i w:val="0"/>
          <w:color w:val="1F2937"/>
          <w:sz w:val="22"/>
        </w:rPr>
        <w:t>Purpose of an SLA: a written contract of availability, support and remedies (service credits) so both sides know what “up” means and what happens when it is not met. It does not by itself keep patient data private; that needs location, encryption and access clauses.</w:t>
      </w:r>
    </w:p>
    <w:p>
      <w:pPr>
        <w:spacing w:before="0" w:after="80"/>
      </w:pPr>
      <w:r>
        <w:rPr>
          <w:rFonts w:ascii="Times New Roman" w:hAnsi="Times New Roman"/>
          <w:b w:val="0"/>
          <w:i w:val="0"/>
          <w:color w:val="1F2937"/>
          <w:sz w:val="22"/>
        </w:rPr>
        <w:t>Migration for billing: do not lift-and-shift the proprietary billing system in one cut-over. Keep it on MedConnect-controlled infrastructure first; wrap it with interfaces; migrate in phases; keep an exit copy of data and schemas. Avoid rewriting it only on one vendor’s proprietary PaaS.</w:t>
      </w:r>
    </w:p>
    <w:p>
      <w:pPr>
        <w:spacing w:before="0" w:after="120"/>
      </w:pPr>
      <w:r>
        <w:rPr>
          <w:rFonts w:ascii="Times New Roman" w:hAnsi="Times New Roman"/>
          <w:b w:val="0"/>
          <w:i w:val="0"/>
          <w:color w:val="1F2937"/>
          <w:sz w:val="22"/>
        </w:rPr>
        <w:t>Vendor lock-in: the development platform “works only with the provider’s own tools”, so leaving later means rewriting. Reduce this by using more than one provider where sensible, open formats, portable containers, and a contract that includes data export.</w:t>
      </w:r>
    </w:p>
    <w:p>
      <w:r>
        <w:br w:type="page"/>
      </w:r>
    </w:p>
    <w:p>
      <w:pPr>
        <w:spacing w:before="240" w:after="120"/>
      </w:pPr>
      <w:r>
        <w:rPr>
          <w:rFonts w:ascii="Times New Roman" w:hAnsi="Times New Roman"/>
          <w:b/>
          <w:i w:val="0"/>
          <w:color w:val="1F4E79"/>
          <w:sz w:val="26"/>
        </w:rPr>
        <w:t>QUESTION THREE — SwiftTrade Distributors (25 Marks)</w:t>
      </w:r>
    </w:p>
    <w:p>
      <w:pPr>
        <w:spacing w:before="160" w:after="80"/>
      </w:pPr>
      <w:r>
        <w:rPr>
          <w:rFonts w:ascii="Times New Roman" w:hAnsi="Times New Roman"/>
          <w:b/>
          <w:i w:val="0"/>
          <w:color w:val="1F4E79"/>
          <w:sz w:val="24"/>
        </w:rPr>
        <w:t>a) POSDCORB; hierarchical model; matrix vs silos (7 marks)</w:t>
      </w:r>
    </w:p>
    <w:p>
      <w:pPr>
        <w:spacing w:before="0" w:after="80"/>
      </w:pPr>
      <w:r>
        <w:rPr>
          <w:rFonts w:ascii="Times New Roman" w:hAnsi="Times New Roman"/>
          <w:b w:val="0"/>
          <w:i w:val="0"/>
          <w:color w:val="1F2937"/>
          <w:sz w:val="22"/>
        </w:rPr>
        <w:t>POSDCORB (Gulick): Planning, Organising, Staffing, Directing, Coordinating, Reporting, Budgeting. Draw as seven functions around or under the chief executive.</w:t>
      </w:r>
    </w:p>
    <w:p>
      <w:pPr>
        <w:spacing w:before="0" w:after="80"/>
      </w:pPr>
      <w:r>
        <w:rPr>
          <w:rFonts w:ascii="Times New Roman" w:hAnsi="Times New Roman"/>
          <w:b w:val="0"/>
          <w:i w:val="0"/>
          <w:color w:val="1F2937"/>
          <w:sz w:val="22"/>
        </w:rPr>
        <w:t>Hierarchical model: Board / CEO (strategy) → middle managers (tactics and policy) → supervisors (day-to-day) → staff in sales, procurement, warehouse, accounting, HR. Draw a pyramid with those layers and the five functions as columns.</w:t>
      </w:r>
    </w:p>
    <w:p>
      <w:pPr>
        <w:spacing w:before="0" w:after="80"/>
      </w:pPr>
      <w:r>
        <w:rPr>
          <w:rFonts w:ascii="Times New Roman" w:hAnsi="Times New Roman"/>
          <w:b w:val="0"/>
          <w:i w:val="0"/>
          <w:color w:val="1F2937"/>
          <w:sz w:val="22"/>
        </w:rPr>
        <w:t>Silos at SwiftTrade: a sales clerk cannot see warehouse stock; accounting re-types warehouse invoices; managers lack real-time data; departments guard their files.</w:t>
      </w:r>
    </w:p>
    <w:p>
      <w:pPr>
        <w:spacing w:before="0" w:after="120"/>
      </w:pPr>
      <w:r>
        <w:rPr>
          <w:rFonts w:ascii="Times New Roman" w:hAnsi="Times New Roman"/>
          <w:b w:val="0"/>
          <w:i w:val="0"/>
          <w:color w:val="1F2937"/>
          <w:sz w:val="22"/>
        </w:rPr>
        <w:t>Cross-functional matrix: people from sales, warehouse and accounting sit on the same process (order fulfilment), report to the process as well as to their function, and share one information set. That breaks the “sales cannot see stock” wall. It is only the first step; an ERP then gives them one database so they are not still on separate packages.</w:t>
      </w:r>
    </w:p>
    <w:p>
      <w:pPr>
        <w:spacing w:before="160" w:after="80"/>
      </w:pPr>
      <w:r>
        <w:rPr>
          <w:rFonts w:ascii="Times New Roman" w:hAnsi="Times New Roman"/>
          <w:b/>
          <w:i w:val="0"/>
          <w:color w:val="1F4E79"/>
          <w:sz w:val="24"/>
        </w:rPr>
        <w:t>b) Three-tier ERP; roles; two benefits, one limitation (8 marks)</w:t>
      </w:r>
    </w:p>
    <w:p>
      <w:pPr>
        <w:spacing w:before="0" w:after="40"/>
      </w:pPr>
      <w:r>
        <w:rPr>
          <w:rFonts w:ascii="Times New Roman" w:hAnsi="Times New Roman"/>
          <w:b w:val="0"/>
          <w:i w:val="0"/>
          <w:color w:val="1F2937"/>
          <w:sz w:val="22"/>
        </w:rPr>
        <w:t>Draw three boxes, top to bottom (or left to right):</w:t>
      </w:r>
    </w:p>
    <w:p>
      <w:pPr>
        <w:pStyle w:val="ListBullet"/>
        <w:spacing w:after="40"/>
      </w:pPr>
      <w:r>
        <w:rPr>
          <w:rFonts w:ascii="Times New Roman" w:hAnsi="Times New Roman"/>
          <w:b w:val="0"/>
          <w:i w:val="0"/>
          <w:color w:val="1F2937"/>
          <w:sz w:val="22"/>
        </w:rPr>
        <w:t>Presentation / client tier: web browser used by staff and retailers. No heavy application installed on each PC.</w:t>
      </w:r>
    </w:p>
    <w:p>
      <w:pPr>
        <w:pStyle w:val="ListBullet"/>
        <w:spacing w:after="40"/>
      </w:pPr>
      <w:r>
        <w:rPr>
          <w:rFonts w:ascii="Times New Roman" w:hAnsi="Times New Roman"/>
          <w:b w:val="0"/>
          <w:i w:val="0"/>
          <w:color w:val="1F2937"/>
          <w:sz w:val="22"/>
        </w:rPr>
        <w:t>Application / business-logic tier: business-process servers (orders, stock, invoices, HR).</w:t>
      </w:r>
    </w:p>
    <w:p>
      <w:pPr>
        <w:pStyle w:val="ListBullet"/>
        <w:spacing w:after="40"/>
      </w:pPr>
      <w:r>
        <w:rPr>
          <w:rFonts w:ascii="Times New Roman" w:hAnsi="Times New Roman"/>
          <w:b w:val="0"/>
          <w:i w:val="0"/>
          <w:color w:val="1F2937"/>
          <w:sz w:val="22"/>
        </w:rPr>
        <w:t>Data / database tier: one central database for the company.</w:t>
      </w:r>
    </w:p>
    <w:p>
      <w:pPr>
        <w:spacing w:before="0" w:after="80"/>
      </w:pPr>
      <w:r>
        <w:rPr>
          <w:rFonts w:ascii="Times New Roman" w:hAnsi="Times New Roman"/>
          <w:b w:val="0"/>
          <w:i w:val="0"/>
          <w:color w:val="1F2937"/>
          <w:sz w:val="22"/>
        </w:rPr>
        <w:t>Benefits: (1) one set of figures instead of re-typed invoices and guarded departmental files; (2) easier change — browser clients, logic updated on servers, data in one place; extra security at the data tier.</w:t>
      </w:r>
    </w:p>
    <w:p>
      <w:pPr>
        <w:spacing w:before="0" w:after="120"/>
      </w:pPr>
      <w:r>
        <w:rPr>
          <w:rFonts w:ascii="Times New Roman" w:hAnsi="Times New Roman"/>
          <w:b w:val="0"/>
          <w:i w:val="0"/>
          <w:color w:val="1F2937"/>
          <w:sz w:val="22"/>
        </w:rPr>
        <w:t>Limitation: expensive and complex to implement; the old inventory system cannot simply be thrown away, so there is a difficult migration; the application tier or database can become a bottleneck if poorly sized.</w:t>
      </w:r>
    </w:p>
    <w:p>
      <w:pPr>
        <w:spacing w:before="160" w:after="80"/>
      </w:pPr>
      <w:r>
        <w:rPr>
          <w:rFonts w:ascii="Times New Roman" w:hAnsi="Times New Roman"/>
          <w:b/>
          <w:i w:val="0"/>
          <w:color w:val="1F4E79"/>
          <w:sz w:val="24"/>
        </w:rPr>
        <w:t>c) SOA from Figure 1; contract; benefits and drawbacks; recommendation (10 marks)</w:t>
      </w:r>
    </w:p>
    <w:p>
      <w:pPr>
        <w:spacing w:before="0" w:after="80"/>
      </w:pPr>
      <w:r>
        <w:rPr>
          <w:rFonts w:ascii="Times New Roman" w:hAnsi="Times New Roman"/>
          <w:b w:val="0"/>
          <w:i w:val="0"/>
          <w:color w:val="1F2937"/>
          <w:sz w:val="22"/>
        </w:rPr>
        <w:t>Figure 1: Consumer (left) sends a request to the Service and gets a reply; the Provider (right) implements the Service. Identify: consumer = calling application (for example the new ERP or a retailer system); provider = the application that owns the function (for example the old inventory system exposed as a service); messages = request and reply.</w:t>
      </w:r>
    </w:p>
    <w:p>
      <w:pPr>
        <w:spacing w:before="0" w:after="80"/>
      </w:pPr>
      <w:r>
        <w:rPr>
          <w:rFonts w:ascii="Times New Roman" w:hAnsi="Times New Roman"/>
          <w:b w:val="0"/>
          <w:i w:val="0"/>
          <w:color w:val="1F2937"/>
          <w:sz w:val="22"/>
        </w:rPr>
        <w:t>Service contract: the agreed description of the service — name, operations, message formats, quality (time, security), and version — independent of the provider’s internal language.</w:t>
      </w:r>
    </w:p>
    <w:p>
      <w:pPr>
        <w:spacing w:before="0" w:after="80"/>
      </w:pPr>
      <w:r>
        <w:rPr>
          <w:rFonts w:ascii="Times New Roman" w:hAnsi="Times New Roman"/>
          <w:b w:val="0"/>
          <w:i w:val="0"/>
          <w:color w:val="1F2937"/>
          <w:sz w:val="22"/>
        </w:rPr>
        <w:t>Benefits: (1) the old inventory system can keep running and still be called as a service, so it is not thrown away; (2) new applications reuse the same service; (3) functions can be replaced behind the contract.</w:t>
      </w:r>
    </w:p>
    <w:p>
      <w:pPr>
        <w:spacing w:before="0" w:after="80"/>
      </w:pPr>
      <w:r>
        <w:rPr>
          <w:rFonts w:ascii="Times New Roman" w:hAnsi="Times New Roman"/>
          <w:b w:val="0"/>
          <w:i w:val="0"/>
          <w:color w:val="1F2937"/>
          <w:sz w:val="22"/>
        </w:rPr>
        <w:t>Drawbacks (as managers fear): costly and time-consuming to define and secure services; strong security needed between services; performance can be inconsistent if many small calls replace one local program.</w:t>
      </w:r>
    </w:p>
    <w:p>
      <w:pPr>
        <w:spacing w:before="0" w:after="120"/>
      </w:pPr>
      <w:r>
        <w:rPr>
          <w:rFonts w:ascii="Times New Roman" w:hAnsi="Times New Roman"/>
          <w:b w:val="0"/>
          <w:i w:val="0"/>
          <w:color w:val="1F2937"/>
          <w:sz w:val="22"/>
        </w:rPr>
        <w:t>Recommendation: adopt SOA as the integration style, not as a replacement for ERP. Use ERP modules for sales, procurement, inventory, finance and HR as the long-term system of record. Expose the old inventory functions as services during migration so current operations continue. Do not stay on separate departmental systems, and do not attempt a “big bang” throw-away of inventory. SOA plus a planned ERP cut-over is the justified path.</w:t>
      </w:r>
    </w:p>
    <w:p>
      <w:r>
        <w:br w:type="page"/>
      </w:r>
    </w:p>
    <w:p>
      <w:pPr>
        <w:spacing w:before="240" w:after="120"/>
      </w:pPr>
      <w:r>
        <w:rPr>
          <w:rFonts w:ascii="Times New Roman" w:hAnsi="Times New Roman"/>
          <w:b/>
          <w:i w:val="0"/>
          <w:color w:val="1F4E79"/>
          <w:sz w:val="26"/>
        </w:rPr>
        <w:t>QUESTION FOUR — BrightStitch Garments (25 Marks)</w:t>
      </w:r>
    </w:p>
    <w:p>
      <w:pPr>
        <w:spacing w:before="160" w:after="80"/>
      </w:pPr>
      <w:r>
        <w:rPr>
          <w:rFonts w:ascii="Times New Roman" w:hAnsi="Times New Roman"/>
          <w:b/>
          <w:i w:val="0"/>
          <w:color w:val="1F4E79"/>
          <w:sz w:val="24"/>
        </w:rPr>
        <w:t>a) Two components of enterprise systems architecture; ERP modules; Table 1 (7 marks)</w:t>
      </w:r>
    </w:p>
    <w:p>
      <w:pPr>
        <w:spacing w:before="0" w:after="80"/>
      </w:pPr>
      <w:r>
        <w:rPr>
          <w:rFonts w:ascii="Times New Roman" w:hAnsi="Times New Roman"/>
          <w:b w:val="0"/>
          <w:i w:val="0"/>
          <w:color w:val="1F2937"/>
          <w:sz w:val="22"/>
        </w:rPr>
        <w:t>Functional side: the set of modules that support business functions (sales, production, purchasing, inventory, finance, HR, plus BI and employee self-service).</w:t>
      </w:r>
    </w:p>
    <w:p>
      <w:pPr>
        <w:spacing w:before="0" w:after="80"/>
      </w:pPr>
      <w:r>
        <w:rPr>
          <w:rFonts w:ascii="Times New Roman" w:hAnsi="Times New Roman"/>
          <w:b w:val="0"/>
          <w:i w:val="0"/>
          <w:color w:val="1F2937"/>
          <w:sz w:val="22"/>
        </w:rPr>
        <w:t>System side: the hardware, software and networking on which the ERP runs (servers, database, web browsers, intranet and internet).</w:t>
      </w:r>
    </w:p>
    <w:p>
      <w:pPr>
        <w:spacing w:before="0" w:after="80"/>
      </w:pPr>
      <w:r>
        <w:rPr>
          <w:rFonts w:ascii="Times New Roman" w:hAnsi="Times New Roman"/>
          <w:b w:val="0"/>
          <w:i w:val="0"/>
          <w:color w:val="1F2937"/>
          <w:sz w:val="22"/>
        </w:rPr>
        <w:t>Typical ERP modules: finance/accounting, procurement/purchasing, production/MRP, inventory, sales and distribution, HR/payroll, plus CRM, BI and self-service.</w:t>
      </w:r>
    </w:p>
    <w:p>
      <w:pPr>
        <w:spacing w:before="0" w:after="40"/>
      </w:pPr>
      <w:r>
        <w:rPr>
          <w:rFonts w:ascii="Times New Roman" w:hAnsi="Times New Roman"/>
          <w:b w:val="0"/>
          <w:i w:val="0"/>
          <w:color w:val="1F2937"/>
          <w:sz w:val="22"/>
        </w:rPr>
        <w:t>From Table 1, procurement and accounting:</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fill="1F4E79" w:val="clear"/>
          </w:tcPr>
          <w:p>
            <w:r/>
            <w:r>
              <w:rPr>
                <w:rFonts w:ascii="Times New Roman" w:hAnsi="Times New Roman"/>
                <w:b/>
                <w:i w:val="0"/>
                <w:color w:val="FFFFFF"/>
                <w:sz w:val="20"/>
              </w:rPr>
              <w:t>Function</w:t>
            </w:r>
          </w:p>
        </w:tc>
        <w:tc>
          <w:tcPr>
            <w:tcW w:type="dxa" w:w="2550"/>
            <w:shd w:fill="1F4E79" w:val="clear"/>
          </w:tcPr>
          <w:p>
            <w:r/>
            <w:r>
              <w:rPr>
                <w:rFonts w:ascii="Times New Roman" w:hAnsi="Times New Roman"/>
                <w:b/>
                <w:i w:val="0"/>
                <w:color w:val="FFFFFF"/>
                <w:sz w:val="20"/>
              </w:rPr>
              <w:t>SAP</w:t>
            </w:r>
          </w:p>
        </w:tc>
        <w:tc>
          <w:tcPr>
            <w:tcW w:type="dxa" w:w="2550"/>
            <w:shd w:fill="1F4E79" w:val="clear"/>
          </w:tcPr>
          <w:p>
            <w:r/>
            <w:r>
              <w:rPr>
                <w:rFonts w:ascii="Times New Roman" w:hAnsi="Times New Roman"/>
                <w:b/>
                <w:i w:val="0"/>
                <w:color w:val="FFFFFF"/>
                <w:sz w:val="20"/>
              </w:rPr>
              <w:t>Oracle / PeopleSoft</w:t>
            </w:r>
          </w:p>
        </w:tc>
        <w:tc>
          <w:tcPr>
            <w:tcW w:type="dxa" w:w="2550"/>
            <w:shd w:fill="1F4E79" w:val="clear"/>
          </w:tcPr>
          <w:p>
            <w:r/>
            <w:r>
              <w:rPr>
                <w:rFonts w:ascii="Times New Roman" w:hAnsi="Times New Roman"/>
                <w:b/>
                <w:i w:val="0"/>
                <w:color w:val="FFFFFF"/>
                <w:sz w:val="20"/>
              </w:rPr>
              <w:t>Microsoft Dynamics</w:t>
            </w:r>
          </w:p>
        </w:tc>
      </w:tr>
      <w:tr>
        <w:tc>
          <w:tcPr>
            <w:tcW w:type="dxa" w:w="2550"/>
          </w:tcPr>
          <w:p>
            <w:r/>
            <w:r>
              <w:rPr>
                <w:rFonts w:ascii="Times New Roman" w:hAnsi="Times New Roman"/>
                <w:b w:val="0"/>
                <w:i w:val="0"/>
                <w:color w:val="1F2937"/>
                <w:sz w:val="20"/>
              </w:rPr>
              <w:t>Procurement</w:t>
            </w:r>
          </w:p>
        </w:tc>
        <w:tc>
          <w:tcPr>
            <w:tcW w:type="dxa" w:w="2550"/>
          </w:tcPr>
          <w:p>
            <w:r/>
            <w:r>
              <w:rPr>
                <w:rFonts w:ascii="Times New Roman" w:hAnsi="Times New Roman"/>
                <w:b w:val="0"/>
                <w:i w:val="0"/>
                <w:color w:val="1F2937"/>
                <w:sz w:val="20"/>
              </w:rPr>
              <w:t>Purchasing; Supplier Relationship Management</w:t>
            </w:r>
          </w:p>
        </w:tc>
        <w:tc>
          <w:tcPr>
            <w:tcW w:type="dxa" w:w="2550"/>
          </w:tcPr>
          <w:p>
            <w:r/>
            <w:r>
              <w:rPr>
                <w:rFonts w:ascii="Times New Roman" w:hAnsi="Times New Roman"/>
                <w:b w:val="0"/>
                <w:i w:val="0"/>
                <w:color w:val="1F2937"/>
                <w:sz w:val="20"/>
              </w:rPr>
              <w:t>Procurement and Supplier Relationship Management</w:t>
            </w:r>
          </w:p>
        </w:tc>
        <w:tc>
          <w:tcPr>
            <w:tcW w:type="dxa" w:w="2550"/>
          </w:tcPr>
          <w:p>
            <w:r/>
            <w:r>
              <w:rPr>
                <w:rFonts w:ascii="Times New Roman" w:hAnsi="Times New Roman"/>
                <w:b w:val="0"/>
                <w:i w:val="0"/>
                <w:color w:val="1F2937"/>
                <w:sz w:val="20"/>
              </w:rPr>
              <w:t>Supply Chain Management</w:t>
            </w:r>
          </w:p>
        </w:tc>
      </w:tr>
      <w:tr>
        <w:tc>
          <w:tcPr>
            <w:tcW w:type="dxa" w:w="2550"/>
          </w:tcPr>
          <w:p>
            <w:r/>
            <w:r>
              <w:rPr>
                <w:rFonts w:ascii="Times New Roman" w:hAnsi="Times New Roman"/>
                <w:b w:val="0"/>
                <w:i w:val="0"/>
                <w:color w:val="1F2937"/>
                <w:sz w:val="20"/>
              </w:rPr>
              <w:t>Accounting</w:t>
            </w:r>
          </w:p>
        </w:tc>
        <w:tc>
          <w:tcPr>
            <w:tcW w:type="dxa" w:w="2550"/>
          </w:tcPr>
          <w:p>
            <w:r/>
            <w:r>
              <w:rPr>
                <w:rFonts w:ascii="Times New Roman" w:hAnsi="Times New Roman"/>
                <w:b w:val="0"/>
                <w:i w:val="0"/>
                <w:color w:val="1F2937"/>
                <w:sz w:val="20"/>
              </w:rPr>
              <w:t>Financial Accounting</w:t>
            </w:r>
          </w:p>
        </w:tc>
        <w:tc>
          <w:tcPr>
            <w:tcW w:type="dxa" w:w="2550"/>
          </w:tcPr>
          <w:p>
            <w:r/>
            <w:r>
              <w:rPr>
                <w:rFonts w:ascii="Times New Roman" w:hAnsi="Times New Roman"/>
                <w:b w:val="0"/>
                <w:i w:val="0"/>
                <w:color w:val="1F2937"/>
                <w:sz w:val="20"/>
              </w:rPr>
              <w:t>Financial Management</w:t>
            </w:r>
          </w:p>
        </w:tc>
        <w:tc>
          <w:tcPr>
            <w:tcW w:type="dxa" w:w="2550"/>
          </w:tcPr>
          <w:p>
            <w:r/>
            <w:r>
              <w:rPr>
                <w:rFonts w:ascii="Times New Roman" w:hAnsi="Times New Roman"/>
                <w:b w:val="0"/>
                <w:i w:val="0"/>
                <w:color w:val="1F2937"/>
                <w:sz w:val="20"/>
              </w:rPr>
              <w:t>Financial Management</w:t>
            </w:r>
          </w:p>
        </w:tc>
      </w:tr>
    </w:tbl>
    <w:p/>
    <w:p>
      <w:pPr>
        <w:spacing w:before="160" w:after="80"/>
      </w:pPr>
      <w:r>
        <w:rPr>
          <w:rFonts w:ascii="Times New Roman" w:hAnsi="Times New Roman"/>
          <w:b/>
          <w:i w:val="0"/>
          <w:color w:val="1F4E79"/>
          <w:sz w:val="24"/>
        </w:rPr>
        <w:t>b) Layered architecture; server-centric vs client-centric; field sales (8 marks)</w:t>
      </w:r>
    </w:p>
    <w:p>
      <w:pPr>
        <w:spacing w:before="0" w:after="40"/>
      </w:pPr>
      <w:r>
        <w:rPr>
          <w:rFonts w:ascii="Times New Roman" w:hAnsi="Times New Roman"/>
          <w:b w:val="0"/>
          <w:i w:val="0"/>
          <w:color w:val="1F2937"/>
          <w:sz w:val="22"/>
        </w:rPr>
        <w:t>Draw and label, from the user downwards:</w:t>
      </w:r>
    </w:p>
    <w:p>
      <w:pPr>
        <w:pStyle w:val="ListBullet"/>
        <w:spacing w:after="40"/>
      </w:pPr>
      <w:r>
        <w:rPr>
          <w:rFonts w:ascii="Times New Roman" w:hAnsi="Times New Roman"/>
          <w:b w:val="0"/>
          <w:i w:val="0"/>
          <w:color w:val="1F2937"/>
          <w:sz w:val="22"/>
        </w:rPr>
        <w:t>User / device: factory PC or field-sales laptop, Java-enabled web browser.</w:t>
      </w:r>
    </w:p>
    <w:p>
      <w:pPr>
        <w:pStyle w:val="ListBullet"/>
        <w:spacing w:after="40"/>
      </w:pPr>
      <w:r>
        <w:rPr>
          <w:rFonts w:ascii="Times New Roman" w:hAnsi="Times New Roman"/>
          <w:b w:val="0"/>
          <w:i w:val="0"/>
          <w:color w:val="1F2937"/>
          <w:sz w:val="22"/>
        </w:rPr>
        <w:t>Interface / presentation layer: sets up a secure connection (HTTPS/session).</w:t>
      </w:r>
    </w:p>
    <w:p>
      <w:pPr>
        <w:pStyle w:val="ListBullet"/>
        <w:spacing w:after="40"/>
      </w:pPr>
      <w:r>
        <w:rPr>
          <w:rFonts w:ascii="Times New Roman" w:hAnsi="Times New Roman"/>
          <w:b w:val="0"/>
          <w:i w:val="0"/>
          <w:color w:val="1F2937"/>
          <w:sz w:val="22"/>
        </w:rPr>
        <w:t>Application software layer: ERP business logic (orders, production, HR).</w:t>
      </w:r>
    </w:p>
    <w:p>
      <w:pPr>
        <w:pStyle w:val="ListBullet"/>
        <w:spacing w:after="40"/>
      </w:pPr>
      <w:r>
        <w:rPr>
          <w:rFonts w:ascii="Times New Roman" w:hAnsi="Times New Roman"/>
          <w:b w:val="0"/>
          <w:i w:val="0"/>
          <w:color w:val="1F2937"/>
          <w:sz w:val="22"/>
        </w:rPr>
        <w:t>Data / database layer: company data.</w:t>
      </w:r>
    </w:p>
    <w:p>
      <w:pPr>
        <w:pStyle w:val="ListBullet"/>
        <w:spacing w:after="40"/>
      </w:pPr>
      <w:r>
        <w:rPr>
          <w:rFonts w:ascii="Times New Roman" w:hAnsi="Times New Roman"/>
          <w:b w:val="0"/>
          <w:i w:val="0"/>
          <w:color w:val="1F2937"/>
          <w:sz w:val="22"/>
        </w:rPr>
        <w:t>Network: company intranet and the Internet.</w:t>
      </w:r>
    </w:p>
    <w:p>
      <w:pPr>
        <w:spacing w:before="0" w:after="80"/>
      </w:pPr>
      <w:r>
        <w:rPr>
          <w:rFonts w:ascii="Times New Roman" w:hAnsi="Times New Roman"/>
          <w:b w:val="0"/>
          <w:i w:val="0"/>
          <w:color w:val="1F2937"/>
          <w:sz w:val="22"/>
        </w:rPr>
        <w:t>How the connection is made: the browser first talks to the interface layer to set up a secure connection, then the user talks to the server through the application layer.</w:t>
      </w:r>
    </w:p>
    <w:p>
      <w:pPr>
        <w:spacing w:before="0" w:after="80"/>
      </w:pPr>
      <w:r>
        <w:rPr>
          <w:rFonts w:ascii="Times New Roman" w:hAnsi="Times New Roman"/>
          <w:b w:val="0"/>
          <w:i w:val="0"/>
          <w:color w:val="1F2937"/>
          <w:sz w:val="22"/>
        </w:rPr>
        <w:t>Client-centric: more processing on the laptop (thicker client). Faster when the mobile link is up, but needs more software on each machine and is harder to lock down — the opposite of what the IT manager wants.</w:t>
      </w:r>
    </w:p>
    <w:p>
      <w:pPr>
        <w:spacing w:before="0" w:after="80"/>
      </w:pPr>
      <w:r>
        <w:rPr>
          <w:rFonts w:ascii="Times New Roman" w:hAnsi="Times New Roman"/>
          <w:b w:val="0"/>
          <w:i w:val="0"/>
          <w:color w:val="1F2937"/>
          <w:sz w:val="22"/>
        </w:rPr>
        <w:t>Server-centric: almost all processing on the servers; the laptop is mainly a browser. Fits slow mobile links better if screens are kept light; no complex install on each PC; access stays on the server.</w:t>
      </w:r>
    </w:p>
    <w:p>
      <w:pPr>
        <w:spacing w:before="0" w:after="120"/>
      </w:pPr>
      <w:r>
        <w:rPr>
          <w:rFonts w:ascii="Times New Roman" w:hAnsi="Times New Roman"/>
          <w:b w:val="0"/>
          <w:i w:val="0"/>
          <w:color w:val="1F2937"/>
          <w:sz w:val="22"/>
        </w:rPr>
        <w:t>Recommendation for field sales: server-centric (thin web client). It matches the IT manager’s security and install policy. To help slow links, keep pages small, allow short offline notes if needed, then sync — do not put a full ERP on the laptop.</w:t>
      </w:r>
    </w:p>
    <w:p>
      <w:pPr>
        <w:spacing w:before="160" w:after="80"/>
      </w:pPr>
      <w:r>
        <w:rPr>
          <w:rFonts w:ascii="Times New Roman" w:hAnsi="Times New Roman"/>
          <w:b/>
          <w:i w:val="0"/>
          <w:color w:val="1F4E79"/>
          <w:sz w:val="24"/>
        </w:rPr>
        <w:t>c) Cloud ERP diagram; three benefits, two drawbacks; lease or buy (10 marks)</w:t>
      </w:r>
    </w:p>
    <w:p>
      <w:pPr>
        <w:spacing w:before="0" w:after="80"/>
      </w:pPr>
      <w:r>
        <w:rPr>
          <w:rFonts w:ascii="Times New Roman" w:hAnsi="Times New Roman"/>
          <w:b w:val="0"/>
          <w:i w:val="0"/>
          <w:color w:val="1F2937"/>
          <w:sz w:val="22"/>
        </w:rPr>
        <w:t>Draw: BrightStitch users (factories, head office, field laptops) → Internet → Cloud provider (ERP software, servers, storage, security, backups). Label the monthly subscription instead of a per-user licence on BrightStitch’s own machines.</w:t>
      </w:r>
    </w:p>
    <w:p>
      <w:pPr>
        <w:spacing w:before="0" w:after="80"/>
      </w:pPr>
      <w:r>
        <w:rPr>
          <w:rFonts w:ascii="Times New Roman" w:hAnsi="Times New Roman"/>
          <w:b w:val="0"/>
          <w:i w:val="0"/>
          <w:color w:val="1F2937"/>
          <w:sz w:val="22"/>
        </w:rPr>
        <w:t>Three benefits of cloud computing here: (1) lower up-front cost (subscription vs buying licences and servers); (2) access from anywhere for field sales; (3) the provider handles patches, capacity and much of the operations workload.</w:t>
      </w:r>
    </w:p>
    <w:p>
      <w:pPr>
        <w:spacing w:before="0" w:after="80"/>
      </w:pPr>
      <w:r>
        <w:rPr>
          <w:rFonts w:ascii="Times New Roman" w:hAnsi="Times New Roman"/>
          <w:b w:val="0"/>
          <w:i w:val="0"/>
          <w:color w:val="1F2937"/>
          <w:sz w:val="22"/>
        </w:rPr>
        <w:t>Two drawbacks: (1) data security and loss of direct control — designs and customer data sit at a third party; (2) dependence on the vendor for reliability and continuity, and the risk that the provider later offers a product like BrightStitch’s own designs (competitive-asset concern).</w:t>
      </w:r>
    </w:p>
    <w:p>
      <w:pPr>
        <w:spacing w:before="0" w:after="120"/>
      </w:pPr>
      <w:r>
        <w:rPr>
          <w:rFonts w:ascii="Times New Roman" w:hAnsi="Times New Roman"/>
          <w:b w:val="0"/>
          <w:i w:val="0"/>
          <w:color w:val="1F2937"/>
          <w:sz w:val="22"/>
        </w:rPr>
        <w:t>Recommendation: lease as a cloud service for standard modules (accounting, purchasing, HR, sales) so the two factories and field team get one set of figures quickly. Do not put unique design/IP modules solely in a provider-owned product without contract clauses on data location, export and IP. Buying and running a full in-house ERP would recreate the old problem of cost, skills and delay. Hybrid is acceptable: cloud ERP for standard processes; keep design files under BrightStitch control.</w:t>
      </w:r>
    </w:p>
    <w:p>
      <w:r>
        <w:br w:type="page"/>
      </w:r>
    </w:p>
    <w:p>
      <w:pPr>
        <w:spacing w:before="240" w:after="120"/>
      </w:pPr>
      <w:r>
        <w:rPr>
          <w:rFonts w:ascii="Times New Roman" w:hAnsi="Times New Roman"/>
          <w:b/>
          <w:i w:val="0"/>
          <w:color w:val="1F4E79"/>
          <w:sz w:val="26"/>
        </w:rPr>
        <w:t>QUESTION FIVE — EduNet University (25 Marks)</w:t>
      </w:r>
    </w:p>
    <w:p>
      <w:pPr>
        <w:spacing w:before="160" w:after="80"/>
      </w:pPr>
      <w:r>
        <w:rPr>
          <w:rFonts w:ascii="Times New Roman" w:hAnsi="Times New Roman"/>
          <w:b/>
          <w:i w:val="0"/>
          <w:color w:val="1F4E79"/>
          <w:sz w:val="24"/>
        </w:rPr>
        <w:t>a) Layered distributed system; middleware; two categories with examples (7 marks)</w:t>
      </w:r>
    </w:p>
    <w:p>
      <w:pPr>
        <w:spacing w:before="0" w:after="80"/>
      </w:pPr>
      <w:r>
        <w:rPr>
          <w:rFonts w:ascii="Times New Roman" w:hAnsi="Times New Roman"/>
          <w:b w:val="0"/>
          <w:i w:val="0"/>
          <w:color w:val="1F2937"/>
          <w:sz w:val="22"/>
        </w:rPr>
        <w:t>Draw three machines (for example registry Linux server, library Windows catalogue, finance package) linked by a network. On each machine, layers from the bottom: hardware → local operating system → middleware (the common software layer the consultant proposed) → applications (student records, catalogue, finance, learning platform). Across the top, users see one university system.</w:t>
      </w:r>
    </w:p>
    <w:p>
      <w:pPr>
        <w:spacing w:before="0" w:after="80"/>
      </w:pPr>
      <w:r>
        <w:rPr>
          <w:rFonts w:ascii="Times New Roman" w:hAnsi="Times New Roman"/>
          <w:b w:val="0"/>
          <w:i w:val="0"/>
          <w:color w:val="1F2937"/>
          <w:sz w:val="22"/>
        </w:rPr>
        <w:t>Role of middleware: sit between the applications and the different operating systems so the university looks like one system without replacing Linux, Windows and macOS. It provides naming, communication, security and data access so a student logs in once and data can move between registry, library and finance.</w:t>
      </w:r>
    </w:p>
    <w:p>
      <w:pPr>
        <w:spacing w:before="0" w:after="40"/>
      </w:pPr>
      <w:r>
        <w:rPr>
          <w:rFonts w:ascii="Times New Roman" w:hAnsi="Times New Roman"/>
          <w:b/>
          <w:i w:val="0"/>
          <w:color w:val="1F2937"/>
          <w:sz w:val="22"/>
        </w:rPr>
        <w:t>Two categories of middleware services, with an example of each:</w:t>
      </w:r>
    </w:p>
    <w:p>
      <w:pPr>
        <w:pStyle w:val="ListBullet"/>
        <w:spacing w:after="40"/>
      </w:pPr>
      <w:r>
        <w:rPr>
          <w:rFonts w:ascii="Times New Roman" w:hAnsi="Times New Roman"/>
          <w:b w:val="0"/>
          <w:i w:val="0"/>
          <w:color w:val="1F2937"/>
          <w:sz w:val="22"/>
        </w:rPr>
        <w:t>Communication services — e.g. RPC or a message queue so the learning platform can request a student record from the registry.</w:t>
      </w:r>
    </w:p>
    <w:p>
      <w:pPr>
        <w:pStyle w:val="ListBullet"/>
        <w:spacing w:after="40"/>
      </w:pPr>
      <w:r>
        <w:rPr>
          <w:rFonts w:ascii="Times New Roman" w:hAnsi="Times New Roman"/>
          <w:b w:val="0"/>
          <w:i w:val="0"/>
          <w:color w:val="1F2937"/>
          <w:sz w:val="22"/>
        </w:rPr>
        <w:t>Naming / directory services — e.g. a directory that finds the library catalogue and finance service.</w:t>
      </w:r>
    </w:p>
    <w:p>
      <w:pPr>
        <w:pStyle w:val="ListBullet"/>
        <w:spacing w:after="40"/>
      </w:pPr>
      <w:r>
        <w:rPr>
          <w:rFonts w:ascii="Times New Roman" w:hAnsi="Times New Roman"/>
          <w:b w:val="0"/>
          <w:i w:val="0"/>
          <w:color w:val="1F2937"/>
          <w:sz w:val="22"/>
        </w:rPr>
        <w:t>(Also acceptable: security/authentication, such as a single sign-on service; or data/transaction services that keep records consistent.)</w:t>
      </w:r>
    </w:p>
    <w:p>
      <w:pPr>
        <w:spacing w:before="160" w:after="80"/>
      </w:pPr>
      <w:r>
        <w:rPr>
          <w:rFonts w:ascii="Times New Roman" w:hAnsi="Times New Roman"/>
          <w:b/>
          <w:i w:val="0"/>
          <w:color w:val="1F4E79"/>
          <w:sz w:val="24"/>
        </w:rPr>
        <w:t>b) Figure 1: two features; multiprocessor vs multicomputer; shared-memory vs message-passing (8 marks)</w:t>
      </w:r>
    </w:p>
    <w:p>
      <w:pPr>
        <w:spacing w:before="0" w:after="80"/>
      </w:pPr>
      <w:r>
        <w:rPr>
          <w:rFonts w:ascii="Times New Roman" w:hAnsi="Times New Roman"/>
          <w:b w:val="0"/>
          <w:i w:val="0"/>
          <w:color w:val="1F2937"/>
          <w:sz w:val="22"/>
        </w:rPr>
        <w:t>Two features that distinguish the four drawings: (1) shared memory versus private memory; (2) interconnection — bus-based versus switch-based.</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fill="1F4E79" w:val="clear"/>
          </w:tcPr>
          <w:p>
            <w:r/>
            <w:r>
              <w:rPr>
                <w:rFonts w:ascii="Times New Roman" w:hAnsi="Times New Roman"/>
                <w:b/>
                <w:i w:val="0"/>
                <w:color w:val="FFFFFF"/>
                <w:sz w:val="20"/>
              </w:rPr>
              <w:t>Drawing</w:t>
            </w:r>
          </w:p>
        </w:tc>
        <w:tc>
          <w:tcPr>
            <w:tcW w:type="dxa" w:w="2550"/>
            <w:shd w:fill="1F4E79" w:val="clear"/>
          </w:tcPr>
          <w:p>
            <w:r/>
            <w:r>
              <w:rPr>
                <w:rFonts w:ascii="Times New Roman" w:hAnsi="Times New Roman"/>
                <w:b/>
                <w:i w:val="0"/>
                <w:color w:val="FFFFFF"/>
                <w:sz w:val="20"/>
              </w:rPr>
              <w:t>Memory</w:t>
            </w:r>
          </w:p>
        </w:tc>
        <w:tc>
          <w:tcPr>
            <w:tcW w:type="dxa" w:w="2550"/>
            <w:shd w:fill="1F4E79" w:val="clear"/>
          </w:tcPr>
          <w:p>
            <w:r/>
            <w:r>
              <w:rPr>
                <w:rFonts w:ascii="Times New Roman" w:hAnsi="Times New Roman"/>
                <w:b/>
                <w:i w:val="0"/>
                <w:color w:val="FFFFFF"/>
                <w:sz w:val="20"/>
              </w:rPr>
              <w:t>Interconnect</w:t>
            </w:r>
          </w:p>
        </w:tc>
        <w:tc>
          <w:tcPr>
            <w:tcW w:type="dxa" w:w="2550"/>
            <w:shd w:fill="1F4E79" w:val="clear"/>
          </w:tcPr>
          <w:p>
            <w:r/>
            <w:r>
              <w:rPr>
                <w:rFonts w:ascii="Times New Roman" w:hAnsi="Times New Roman"/>
                <w:b/>
                <w:i w:val="0"/>
                <w:color w:val="FFFFFF"/>
                <w:sz w:val="20"/>
              </w:rPr>
              <w:t>Class</w:t>
            </w:r>
          </w:p>
        </w:tc>
      </w:tr>
      <w:tr>
        <w:tc>
          <w:tcPr>
            <w:tcW w:type="dxa" w:w="2550"/>
          </w:tcPr>
          <w:p>
            <w:r/>
            <w:r>
              <w:rPr>
                <w:rFonts w:ascii="Times New Roman" w:hAnsi="Times New Roman"/>
                <w:b w:val="0"/>
                <w:i w:val="0"/>
                <w:color w:val="1F2937"/>
                <w:sz w:val="20"/>
              </w:rPr>
              <w:t>Top left</w:t>
            </w:r>
          </w:p>
        </w:tc>
        <w:tc>
          <w:tcPr>
            <w:tcW w:type="dxa" w:w="2550"/>
          </w:tcPr>
          <w:p>
            <w:r/>
            <w:r>
              <w:rPr>
                <w:rFonts w:ascii="Times New Roman" w:hAnsi="Times New Roman"/>
                <w:b w:val="0"/>
                <w:i w:val="0"/>
                <w:color w:val="1F2937"/>
                <w:sz w:val="20"/>
              </w:rPr>
              <w:t>Shared (one set of M above a common bus)</w:t>
            </w:r>
          </w:p>
        </w:tc>
        <w:tc>
          <w:tcPr>
            <w:tcW w:type="dxa" w:w="2550"/>
          </w:tcPr>
          <w:p>
            <w:r/>
            <w:r>
              <w:rPr>
                <w:rFonts w:ascii="Times New Roman" w:hAnsi="Times New Roman"/>
                <w:b w:val="0"/>
                <w:i w:val="0"/>
                <w:color w:val="1F2937"/>
                <w:sz w:val="20"/>
              </w:rPr>
              <w:t>Bus</w:t>
            </w:r>
          </w:p>
        </w:tc>
        <w:tc>
          <w:tcPr>
            <w:tcW w:type="dxa" w:w="2550"/>
          </w:tcPr>
          <w:p>
            <w:r/>
            <w:r>
              <w:rPr>
                <w:rFonts w:ascii="Times New Roman" w:hAnsi="Times New Roman"/>
                <w:b w:val="0"/>
                <w:i w:val="0"/>
                <w:color w:val="1F2937"/>
                <w:sz w:val="20"/>
              </w:rPr>
              <w:t>Multiprocessor</w:t>
            </w:r>
          </w:p>
        </w:tc>
      </w:tr>
      <w:tr>
        <w:tc>
          <w:tcPr>
            <w:tcW w:type="dxa" w:w="2550"/>
          </w:tcPr>
          <w:p>
            <w:r/>
            <w:r>
              <w:rPr>
                <w:rFonts w:ascii="Times New Roman" w:hAnsi="Times New Roman"/>
                <w:b w:val="0"/>
                <w:i w:val="0"/>
                <w:color w:val="1F2937"/>
                <w:sz w:val="20"/>
              </w:rPr>
              <w:t>Top right</w:t>
            </w:r>
          </w:p>
        </w:tc>
        <w:tc>
          <w:tcPr>
            <w:tcW w:type="dxa" w:w="2550"/>
          </w:tcPr>
          <w:p>
            <w:r/>
            <w:r>
              <w:rPr>
                <w:rFonts w:ascii="Times New Roman" w:hAnsi="Times New Roman"/>
                <w:b w:val="0"/>
                <w:i w:val="0"/>
                <w:color w:val="1F2937"/>
                <w:sz w:val="20"/>
              </w:rPr>
              <w:t>Private (each P has its own M)</w:t>
            </w:r>
          </w:p>
        </w:tc>
        <w:tc>
          <w:tcPr>
            <w:tcW w:type="dxa" w:w="2550"/>
          </w:tcPr>
          <w:p>
            <w:r/>
            <w:r>
              <w:rPr>
                <w:rFonts w:ascii="Times New Roman" w:hAnsi="Times New Roman"/>
                <w:b w:val="0"/>
                <w:i w:val="0"/>
                <w:color w:val="1F2937"/>
                <w:sz w:val="20"/>
              </w:rPr>
              <w:t>Bus</w:t>
            </w:r>
          </w:p>
        </w:tc>
        <w:tc>
          <w:tcPr>
            <w:tcW w:type="dxa" w:w="2550"/>
          </w:tcPr>
          <w:p>
            <w:r/>
            <w:r>
              <w:rPr>
                <w:rFonts w:ascii="Times New Roman" w:hAnsi="Times New Roman"/>
                <w:b w:val="0"/>
                <w:i w:val="0"/>
                <w:color w:val="1F2937"/>
                <w:sz w:val="20"/>
              </w:rPr>
              <w:t>Multicomputer</w:t>
            </w:r>
          </w:p>
        </w:tc>
      </w:tr>
      <w:tr>
        <w:tc>
          <w:tcPr>
            <w:tcW w:type="dxa" w:w="2550"/>
          </w:tcPr>
          <w:p>
            <w:r/>
            <w:r>
              <w:rPr>
                <w:rFonts w:ascii="Times New Roman" w:hAnsi="Times New Roman"/>
                <w:b w:val="0"/>
                <w:i w:val="0"/>
                <w:color w:val="1F2937"/>
                <w:sz w:val="20"/>
              </w:rPr>
              <w:t>Bottom left</w:t>
            </w:r>
          </w:p>
        </w:tc>
        <w:tc>
          <w:tcPr>
            <w:tcW w:type="dxa" w:w="2550"/>
          </w:tcPr>
          <w:p>
            <w:r/>
            <w:r>
              <w:rPr>
                <w:rFonts w:ascii="Times New Roman" w:hAnsi="Times New Roman"/>
                <w:b w:val="0"/>
                <w:i w:val="0"/>
                <w:color w:val="1F2937"/>
                <w:sz w:val="20"/>
              </w:rPr>
              <w:t>Shared (Ms reached through a switch)</w:t>
            </w:r>
          </w:p>
        </w:tc>
        <w:tc>
          <w:tcPr>
            <w:tcW w:type="dxa" w:w="2550"/>
          </w:tcPr>
          <w:p>
            <w:r/>
            <w:r>
              <w:rPr>
                <w:rFonts w:ascii="Times New Roman" w:hAnsi="Times New Roman"/>
                <w:b w:val="0"/>
                <w:i w:val="0"/>
                <w:color w:val="1F2937"/>
                <w:sz w:val="20"/>
              </w:rPr>
              <w:t>Switch</w:t>
            </w:r>
          </w:p>
        </w:tc>
        <w:tc>
          <w:tcPr>
            <w:tcW w:type="dxa" w:w="2550"/>
          </w:tcPr>
          <w:p>
            <w:r/>
            <w:r>
              <w:rPr>
                <w:rFonts w:ascii="Times New Roman" w:hAnsi="Times New Roman"/>
                <w:b w:val="0"/>
                <w:i w:val="0"/>
                <w:color w:val="1F2937"/>
                <w:sz w:val="20"/>
              </w:rPr>
              <w:t>Multiprocessor</w:t>
            </w:r>
          </w:p>
        </w:tc>
      </w:tr>
      <w:tr>
        <w:tc>
          <w:tcPr>
            <w:tcW w:type="dxa" w:w="2550"/>
          </w:tcPr>
          <w:p>
            <w:r/>
            <w:r>
              <w:rPr>
                <w:rFonts w:ascii="Times New Roman" w:hAnsi="Times New Roman"/>
                <w:b w:val="0"/>
                <w:i w:val="0"/>
                <w:color w:val="1F2937"/>
                <w:sz w:val="20"/>
              </w:rPr>
              <w:t>Bottom right</w:t>
            </w:r>
          </w:p>
        </w:tc>
        <w:tc>
          <w:tcPr>
            <w:tcW w:type="dxa" w:w="2550"/>
          </w:tcPr>
          <w:p>
            <w:r/>
            <w:r>
              <w:rPr>
                <w:rFonts w:ascii="Times New Roman" w:hAnsi="Times New Roman"/>
                <w:b w:val="0"/>
                <w:i w:val="0"/>
                <w:color w:val="1F2937"/>
                <w:sz w:val="20"/>
              </w:rPr>
              <w:t>Private (each P+M linked by a switch)</w:t>
            </w:r>
          </w:p>
        </w:tc>
        <w:tc>
          <w:tcPr>
            <w:tcW w:type="dxa" w:w="2550"/>
          </w:tcPr>
          <w:p>
            <w:r/>
            <w:r>
              <w:rPr>
                <w:rFonts w:ascii="Times New Roman" w:hAnsi="Times New Roman"/>
                <w:b w:val="0"/>
                <w:i w:val="0"/>
                <w:color w:val="1F2937"/>
                <w:sz w:val="20"/>
              </w:rPr>
              <w:t>Switch</w:t>
            </w:r>
          </w:p>
        </w:tc>
        <w:tc>
          <w:tcPr>
            <w:tcW w:type="dxa" w:w="2550"/>
          </w:tcPr>
          <w:p>
            <w:r/>
            <w:r>
              <w:rPr>
                <w:rFonts w:ascii="Times New Roman" w:hAnsi="Times New Roman"/>
                <w:b w:val="0"/>
                <w:i w:val="0"/>
                <w:color w:val="1F2937"/>
                <w:sz w:val="20"/>
              </w:rPr>
              <w:t>Multicomputer</w:t>
            </w:r>
          </w:p>
        </w:tc>
      </w:tr>
    </w:tbl>
    <w:p/>
    <w:p>
      <w:pPr>
        <w:spacing w:before="0" w:after="80"/>
      </w:pPr>
      <w:r>
        <w:rPr>
          <w:rFonts w:ascii="Times New Roman" w:hAnsi="Times New Roman"/>
          <w:b w:val="0"/>
          <w:i w:val="0"/>
          <w:color w:val="1F2937"/>
          <w:sz w:val="22"/>
        </w:rPr>
        <w:t>Multiprocessors: processors share one memory and look like one computer (top left, bottom left). Multicomputers: each processor has private memory and they form a network of computers (top right, bottom right).</w:t>
      </w:r>
    </w:p>
    <w:p>
      <w:pPr>
        <w:spacing w:before="0" w:after="80"/>
      </w:pPr>
      <w:r>
        <w:rPr>
          <w:rFonts w:ascii="Times New Roman" w:hAnsi="Times New Roman"/>
          <w:b w:val="0"/>
          <w:i w:val="0"/>
          <w:color w:val="1F2937"/>
          <w:sz w:val="22"/>
        </w:rPr>
        <w:t>Shared-memory architecture: programs communicate by reading and writing the common memory; need locks. Suited to one tightly coupled research server.</w:t>
      </w:r>
    </w:p>
    <w:p>
      <w:pPr>
        <w:spacing w:before="0" w:after="120"/>
      </w:pPr>
      <w:r>
        <w:rPr>
          <w:rFonts w:ascii="Times New Roman" w:hAnsi="Times New Roman"/>
          <w:b w:val="0"/>
          <w:i w:val="0"/>
          <w:color w:val="1F2937"/>
          <w:sz w:val="22"/>
        </w:rPr>
        <w:t>Message-passing architecture: programs send messages; no common RAM. This matches a campus network of different machines (registry, library, finance, student devices).</w:t>
      </w:r>
    </w:p>
    <w:p>
      <w:pPr>
        <w:spacing w:before="160" w:after="80"/>
      </w:pPr>
      <w:r>
        <w:rPr>
          <w:rFonts w:ascii="Times New Roman" w:hAnsi="Times New Roman"/>
          <w:b/>
          <w:i w:val="0"/>
          <w:color w:val="1F4E79"/>
          <w:sz w:val="24"/>
        </w:rPr>
        <w:t>c) Client–server vs peer-to-peer; proxy cache; recommendation (10 marks)</w:t>
      </w:r>
    </w:p>
    <w:p>
      <w:pPr>
        <w:spacing w:before="0" w:after="80"/>
      </w:pPr>
      <w:r>
        <w:rPr>
          <w:rFonts w:ascii="Times New Roman" w:hAnsi="Times New Roman"/>
          <w:b w:val="0"/>
          <w:i w:val="0"/>
          <w:color w:val="1F2937"/>
          <w:sz w:val="22"/>
        </w:rPr>
        <w:t>Client–server: students’ browsers are clients; campus or central servers hold lecture notes, quizzes and pages. Draw clients around a server (or a server plus a proxy).</w:t>
      </w:r>
    </w:p>
    <w:p>
      <w:pPr>
        <w:spacing w:before="0" w:after="80"/>
      </w:pPr>
      <w:r>
        <w:rPr>
          <w:rFonts w:ascii="Times New Roman" w:hAnsi="Times New Roman"/>
          <w:b w:val="0"/>
          <w:i w:val="0"/>
          <w:color w:val="1F2937"/>
          <w:sz w:val="22"/>
        </w:rPr>
        <w:t>Peer-to-peer: machines share data as equals, without a required central server. Draw several nodes linked to each other. Useful for departments that want to share large research datasets directly.</w:t>
      </w:r>
    </w:p>
    <w:p>
      <w:pPr>
        <w:spacing w:before="0" w:after="80"/>
      </w:pPr>
      <w:r>
        <w:rPr>
          <w:rFonts w:ascii="Times New Roman" w:hAnsi="Times New Roman"/>
          <w:b w:val="0"/>
          <w:i w:val="0"/>
          <w:color w:val="1F2937"/>
          <w:sz w:val="22"/>
        </w:rPr>
        <w:t>Proxy-server cache: a server placed near the campus users keeps copies of frequently requested pages. First request goes to the origin (central) server; the proxy stores the page; later requests for the same notes are answered locally. This cuts traffic on the congested inter-campus links at exam time and speeds response. Cached pages must expire or be refreshed so students do not sit an old quiz.</w:t>
      </w:r>
    </w:p>
    <w:p>
      <w:pPr>
        <w:spacing w:before="0" w:after="120"/>
      </w:pPr>
      <w:r>
        <w:rPr>
          <w:rFonts w:ascii="Times New Roman" w:hAnsi="Times New Roman"/>
          <w:b w:val="0"/>
          <w:i w:val="0"/>
          <w:color w:val="1F2937"/>
          <w:sz w:val="22"/>
        </w:rPr>
        <w:t>Recommendation: client–server with campus proxy caches for the learning platform. Thousands of students requesting the same pages at once need a controlled origin, authentication and one official copy of the exam material. A proxy at each campus matches what IT staff already think will help. Use peer-to-peer only as an extra path for large research datasets between departments, not for the exam platform. A pure P2P learning system would make it hard to keep one authoritative page and to control who may see assessed work.</w:t>
      </w:r>
    </w:p>
    <w:p>
      <w:pPr>
        <w:spacing w:before="240" w:after="120"/>
      </w:pPr>
      <w:r>
        <w:rPr>
          <w:rFonts w:ascii="Times New Roman" w:hAnsi="Times New Roman"/>
          <w:b/>
          <w:i w:val="0"/>
          <w:color w:val="1F4E79"/>
          <w:sz w:val="26"/>
        </w:rPr>
        <w:t>How to sit Section B</w:t>
      </w:r>
    </w:p>
    <w:p>
      <w:pPr>
        <w:spacing w:before="0" w:after="120"/>
      </w:pPr>
      <w:r>
        <w:rPr>
          <w:rFonts w:ascii="Times New Roman" w:hAnsi="Times New Roman"/>
          <w:b w:val="0"/>
          <w:i w:val="0"/>
          <w:color w:val="1F2937"/>
          <w:sz w:val="22"/>
        </w:rPr>
        <w:t>The paper says attempt any two of Questions 2–5 (50 marks). A balanced choice:</w:t>
      </w:r>
    </w:p>
    <w:p>
      <w:pPr>
        <w:pStyle w:val="ListBullet"/>
        <w:spacing w:after="40"/>
      </w:pPr>
      <w:r>
        <w:rPr>
          <w:rFonts w:ascii="Times New Roman" w:hAnsi="Times New Roman"/>
          <w:b w:val="0"/>
          <w:i w:val="0"/>
          <w:color w:val="1F2937"/>
          <w:sz w:val="22"/>
        </w:rPr>
        <w:t>Question 2 + Question 4 if you are stronger on cloud and ERP.</w:t>
      </w:r>
    </w:p>
    <w:p>
      <w:pPr>
        <w:pStyle w:val="ListBullet"/>
        <w:spacing w:after="40"/>
      </w:pPr>
      <w:r>
        <w:rPr>
          <w:rFonts w:ascii="Times New Roman" w:hAnsi="Times New Roman"/>
          <w:b w:val="0"/>
          <w:i w:val="0"/>
          <w:color w:val="1F2937"/>
          <w:sz w:val="22"/>
        </w:rPr>
        <w:t>Question 3 + Question 5 if you are stronger on organisation, SOA and distributed hardware.</w:t>
      </w:r>
    </w:p>
    <w:p>
      <w:pPr>
        <w:pStyle w:val="ListBullet"/>
        <w:spacing w:after="40"/>
      </w:pPr>
      <w:r>
        <w:rPr>
          <w:rFonts w:ascii="Times New Roman" w:hAnsi="Times New Roman"/>
          <w:b w:val="0"/>
          <w:i w:val="0"/>
          <w:color w:val="1F2937"/>
          <w:sz w:val="22"/>
        </w:rPr>
        <w:t>Question 2 + Question 5 if you want one cloud case and one university/distributed case.</w:t>
      </w:r>
    </w:p>
    <w:p>
      <w:pPr>
        <w:spacing w:before="160" w:after="120"/>
      </w:pPr>
      <w:r>
        <w:rPr>
          <w:rFonts w:ascii="Times New Roman" w:hAnsi="Times New Roman"/>
          <w:b w:val="0"/>
          <w:i/>
          <w:color w:val="1F2937"/>
          <w:sz w:val="22"/>
        </w:rPr>
        <w:t>Always draw the diagrams you are asked for, label every box, and tie each recommendation back to the case (patient data and the law at MedConnect; field laptops at BrightStitch; exam load at EduNet; old inventory at SwiftTrade).</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