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היוזמה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הצצתי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שהפידבק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מועמד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שיוסיפו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שיתחילו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ובחוזקות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שירצו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להבליט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ההשכלה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אמביוולנטי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הדגשים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שמבקש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ייעוץ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שתבדל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ויתפסו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יחודי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צבעוני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וארגון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המלצתי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לינקים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לינקדין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בתמצית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המועמד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וניור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בהשכלה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לנסיון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תעסוקתי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מנוסה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בנסיון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תעסוקי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כרונולוגי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ולחזור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תחביבים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המועמד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טכנולוגיים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שתתפוס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המגייס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הסקילז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שמביאים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שהמועמד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מלבן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שהמועמד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והתנסה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הצטיינויות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מוסדות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עבדו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שעזרתי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נחמי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פודרביניק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‏ &lt;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nchen@tchen.org.il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נחמי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בגדול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שידגישו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ממליצה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שהטמפליט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עדכני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:)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לגיט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וישימו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לינק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להמליץ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לינקדאין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שיוסיפי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התנדבות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הדרכה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שעשו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שמראות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למגיסות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אצלינו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לפידבקים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אשלח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ששלחו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עברתי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מדגמית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מסיקה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שהציון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לכתוב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שכתבה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קמאטק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למצטינות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מהציבור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החרדי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קורסי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אלגוריתמיקה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ומתמטיקה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נכללים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לימודי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ההנדסאי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שמכירים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2-3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הקורסים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חזקה</w:t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אישי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זמינה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מידית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מלאה</w:t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אזורים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שרוצות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רלונטי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היברידת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לדומגא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זמינה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מחפשת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המרכז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היברידית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מרוחקת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באזורים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אחשוב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אשלח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משקיעה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בלבדוק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 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אפקטיבית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אגב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גיוסים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למשרות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דיבג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משהי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ואהבה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הטכני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הרכיבה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טפלה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פרופיל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סמינר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משהי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מכירות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וטובה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אשמח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להמלצות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שמתכננות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לומדות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לתואר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ולהפנות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לאינטל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תקוה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קרית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חיפה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3, 2022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12:57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נחמי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פודרביניק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‎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nchen@tchen.org.il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wrote: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שמחתי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לפגוש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ולהכיר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לשיחתנו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אשמח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קורות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ולשמוע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המקצועית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נחמי</w:t>
      </w:r>
    </w:p>
    <w:p w:rsidR="00000000" w:rsidDel="00000000" w:rsidP="00000000" w:rsidRDefault="00000000" w:rsidRPr="00000000" w14:paraId="00000036">
      <w:pPr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chen@tchen.org.il" TargetMode="External"/><Relationship Id="rId8" Type="http://schemas.openxmlformats.org/officeDocument/2006/relationships/hyperlink" Target="mailto:nchen@tchen.org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ZC7KcLRiJBJuDkVCCkSoxKyWQ==">CgMxLjAyCGguZ2pkZ3hzOAByITE5TWIwTUFYcnNTazR2RXU2NnlQQkNrZHc1VC16bmFxeQ==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2022-05-08T10:28:00Z</dcterms:created>
  <dc:creator>תוכנית חן-נחמי פודרביניק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0x010100B721A677840D49488EA81BA8183979FA</vt:lpwstr>
  </property>
</Properties>
</file>