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="180" w:lineRule="auto"/>
        <w:ind w:right="120"/>
        <w:rPr>
          <w:rFonts w:ascii="Titillium Web SemiBold" w:cs="Titillium Web SemiBold" w:eastAsia="Titillium Web SemiBold" w:hAnsi="Titillium Web SemiBold"/>
          <w:b w:val="1"/>
          <w:color w:val="1155cc"/>
          <w:sz w:val="72"/>
          <w:szCs w:val="72"/>
        </w:rPr>
      </w:pPr>
      <w:bookmarkStart w:colFirst="0" w:colLast="0" w:name="_cth9f2rp3vt6" w:id="0"/>
      <w:bookmarkEnd w:id="0"/>
      <w:r w:rsidDel="00000000" w:rsidR="00000000" w:rsidRPr="00000000">
        <w:rPr>
          <w:rFonts w:ascii="Titillium Web SemiBold" w:cs="Titillium Web SemiBold" w:eastAsia="Titillium Web SemiBold" w:hAnsi="Titillium Web SemiBold"/>
          <w:color w:val="0066cc"/>
          <w:sz w:val="80"/>
          <w:szCs w:val="80"/>
        </w:rPr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page">
              <wp:posOffset>838200</wp:posOffset>
            </wp:positionH>
            <wp:positionV relativeFrom="page">
              <wp:posOffset>1421130</wp:posOffset>
            </wp:positionV>
            <wp:extent cx="1080000" cy="1080000"/>
            <wp:effectExtent b="0" l="0" r="0" t="0"/>
            <wp:wrapTopAndBottom distB="342900" distT="342900"/>
            <wp:docPr descr="Rispetta la privacy quando coinvolgi gli utenti nella ricerca" id="2" name="image2.png"/>
            <a:graphic>
              <a:graphicData uri="http://schemas.openxmlformats.org/drawingml/2006/picture">
                <pic:pic>
                  <pic:nvPicPr>
                    <pic:cNvPr descr="Rispetta la privacy quando coinvolgi gli utenti nella ricerc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tillium Web SemiBold" w:cs="Titillium Web SemiBold" w:eastAsia="Titillium Web SemiBold" w:hAnsi="Titillium Web SemiBold"/>
          <w:color w:val="0066cc"/>
          <w:sz w:val="80"/>
          <w:szCs w:val="80"/>
          <w:rtl w:val="0"/>
        </w:rPr>
        <w:t xml:space="preserve">Liberatoria test di usabilità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40" w:lineRule="auto"/>
        <w:ind w:right="1644.9212598425208"/>
        <w:rPr>
          <w:rFonts w:ascii="Titillium Web" w:cs="Titillium Web" w:eastAsia="Titillium Web" w:hAnsi="Titillium Web"/>
          <w:b w:val="1"/>
          <w:color w:val="0066cc"/>
          <w:sz w:val="32"/>
          <w:szCs w:val="32"/>
        </w:rPr>
      </w:pPr>
      <w:bookmarkStart w:colFirst="0" w:colLast="0" w:name="_kxqpa58jcryn" w:id="1"/>
      <w:bookmarkEnd w:id="1"/>
      <w:r w:rsidDel="00000000" w:rsidR="00000000" w:rsidRPr="00000000">
        <w:rPr>
          <w:rFonts w:ascii="Titillium Web" w:cs="Titillium Web" w:eastAsia="Titillium Web" w:hAnsi="Titillium Web"/>
          <w:b w:val="1"/>
          <w:color w:val="0066cc"/>
          <w:sz w:val="32"/>
          <w:szCs w:val="32"/>
          <w:rtl w:val="0"/>
        </w:rPr>
        <w:t xml:space="preserve">Osserva come gli utenti interagiscono con un servizio digitale per renderlo più usabile.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right="120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line="276" w:lineRule="auto"/>
        <w:ind w:right="120"/>
        <w:rPr>
          <w:rFonts w:ascii="Titillium Web" w:cs="Titillium Web" w:eastAsia="Titillium Web" w:hAnsi="Titillium Web"/>
          <w:color w:val="434343"/>
          <w:sz w:val="32"/>
          <w:szCs w:val="32"/>
          <w:shd w:fill="ffb54c" w:val="clear"/>
        </w:rPr>
      </w:pPr>
      <w:bookmarkStart w:colFirst="0" w:colLast="0" w:name="_88z6gka6zviz" w:id="2"/>
      <w:bookmarkEnd w:id="2"/>
      <w:r w:rsidDel="00000000" w:rsidR="00000000" w:rsidRPr="00000000">
        <w:rPr>
          <w:rFonts w:ascii="Titillium Web" w:cs="Titillium Web" w:eastAsia="Titillium Web" w:hAnsi="Titillium Web"/>
          <w:color w:val="434343"/>
          <w:sz w:val="32"/>
          <w:szCs w:val="32"/>
          <w:shd w:fill="ffb54c" w:val="clear"/>
          <w:rtl w:val="0"/>
        </w:rPr>
        <w:t xml:space="preserve">Liberatoria per il consenso alla registrazione</w:t>
      </w:r>
    </w:p>
    <w:p w:rsidR="00000000" w:rsidDel="00000000" w:rsidP="00000000" w:rsidRDefault="00000000" w:rsidRPr="00000000" w14:paraId="00000005">
      <w:pPr>
        <w:pageBreakBefore w:val="0"/>
        <w:rPr>
          <w:rFonts w:ascii="Titillium Web" w:cs="Titillium Web" w:eastAsia="Titillium Web" w:hAnsi="Titillium Web"/>
          <w:b w:val="1"/>
          <w:color w:val="0066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color w:val="0066cc"/>
          <w:sz w:val="24"/>
          <w:szCs w:val="24"/>
          <w:rtl w:val="0"/>
        </w:rPr>
        <w:t xml:space="preserve">Riferimento: allegato 4 del Protocollo eGLU: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0066cc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b w:val="1"/>
            <w:color w:val="0066cc"/>
            <w:sz w:val="24"/>
            <w:szCs w:val="24"/>
            <w:u w:val="single"/>
            <w:rtl w:val="0"/>
          </w:rPr>
          <w:t xml:space="preserve">http://www.funzionepubblica.gov.it/glu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spacing w:after="200" w:before="400" w:line="276" w:lineRule="auto"/>
        <w:ind w:right="120"/>
        <w:rPr>
          <w:rFonts w:ascii="Titillium Web" w:cs="Titillium Web" w:eastAsia="Titillium Web" w:hAnsi="Titillium Web"/>
          <w:b w:val="1"/>
          <w:color w:val="0066cc"/>
          <w:sz w:val="24"/>
          <w:szCs w:val="24"/>
        </w:rPr>
      </w:pPr>
      <w:bookmarkStart w:colFirst="0" w:colLast="0" w:name="_7s4xivvsswek" w:id="3"/>
      <w:bookmarkEnd w:id="3"/>
      <w:r w:rsidDel="00000000" w:rsidR="00000000" w:rsidRPr="00000000">
        <w:rPr>
          <w:rFonts w:ascii="Titillium Web" w:cs="Titillium Web" w:eastAsia="Titillium Web" w:hAnsi="Titillium Web"/>
          <w:b w:val="1"/>
          <w:color w:val="0066cc"/>
          <w:sz w:val="24"/>
          <w:szCs w:val="24"/>
          <w:rtl w:val="0"/>
        </w:rPr>
        <w:t xml:space="preserve">ISTRUZIONI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ind w:right="120"/>
              <w:rPr>
                <w:rFonts w:ascii="Titillium Web" w:cs="Titillium Web" w:eastAsia="Titillium Web" w:hAnsi="Titillium Web"/>
                <w:b w:val="1"/>
                <w:color w:val="0066cc"/>
                <w:sz w:val="56"/>
                <w:szCs w:val="5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0066cc"/>
                <w:sz w:val="56"/>
                <w:szCs w:val="56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" w:line="360" w:lineRule="auto"/>
              <w:ind w:right="120"/>
              <w:rPr>
                <w:rFonts w:ascii="Titillium Web" w:cs="Titillium Web" w:eastAsia="Titillium Web" w:hAnsi="Titillium Web"/>
                <w:b w:val="1"/>
                <w:color w:val="434343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434343"/>
                <w:rtl w:val="0"/>
              </w:rPr>
              <w:t xml:space="preserve">Completa il modulo di liberatoria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34343"/>
                <w:rtl w:val="0"/>
              </w:rPr>
              <w:t xml:space="preserve">qui allegato con i dati relativi al tuo ente, la data di esecuzione del test, e il nome del progetto, sito o applicazione per cui stai conducendo dei test di usabilità.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right="120"/>
              <w:rPr>
                <w:rFonts w:ascii="Titillium Web" w:cs="Titillium Web" w:eastAsia="Titillium Web" w:hAnsi="Titillium Web"/>
                <w:b w:val="1"/>
                <w:color w:val="0066cc"/>
                <w:sz w:val="56"/>
                <w:szCs w:val="5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0066cc"/>
                <w:sz w:val="56"/>
                <w:szCs w:val="56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" w:line="360" w:lineRule="auto"/>
              <w:ind w:right="120"/>
              <w:rPr>
                <w:rFonts w:ascii="Titillium Web" w:cs="Titillium Web" w:eastAsia="Titillium Web" w:hAnsi="Titillium Web"/>
                <w:color w:val="434343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434343"/>
                <w:rtl w:val="0"/>
              </w:rPr>
              <w:t xml:space="preserve">Stampa i moduli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34343"/>
                <w:rtl w:val="0"/>
              </w:rPr>
              <w:t xml:space="preserve">, tanti quanti il numero dei partecipanti previsti per le sessioni di test. Prepara delle copie in più di scorta in caso di errori, o partecipanti aggiuntivi.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right="120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0066cc"/>
                <w:sz w:val="56"/>
                <w:szCs w:val="56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4" w:line="360" w:lineRule="auto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434343"/>
                <w:rtl w:val="0"/>
              </w:rPr>
              <w:t xml:space="preserve">All’inizio della sessione di test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34343"/>
                <w:rtl w:val="0"/>
              </w:rPr>
              <w:t xml:space="preserve">spiega ai partecipanti che verrà registrato del materiale audio e video come documentazione dell’attività di test. Chiedi al partecipante se è d’accordo con questo modo di procedere prima di attivare la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right="120"/>
              <w:rPr>
                <w:rFonts w:ascii="Titillium Web" w:cs="Titillium Web" w:eastAsia="Titillium Web" w:hAnsi="Titillium Web"/>
                <w:b w:val="1"/>
                <w:color w:val="0066cc"/>
                <w:sz w:val="56"/>
                <w:szCs w:val="5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0066cc"/>
                <w:sz w:val="56"/>
                <w:szCs w:val="56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" w:line="360" w:lineRule="auto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434343"/>
                <w:rtl w:val="0"/>
              </w:rPr>
              <w:t xml:space="preserve">Se il partecipante esprime il proprio consenso alla registrazione del test,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434343"/>
                <w:rtl w:val="0"/>
              </w:rPr>
              <w:t xml:space="preserve"> chiedi di leggere e firmare la liberatoria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434343"/>
                <w:rtl w:val="0"/>
              </w:rPr>
              <w:t xml:space="preserve"> per la conservazione e l’utilizzo dei materiali audio/video prodotti durante la sessione.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before="200" w:line="276" w:lineRule="auto"/>
        <w:ind w:right="120"/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spacing w:after="200" w:before="400" w:line="276" w:lineRule="auto"/>
        <w:ind w:right="120"/>
        <w:rPr>
          <w:rFonts w:ascii="Titillium Web" w:cs="Titillium Web" w:eastAsia="Titillium Web" w:hAnsi="Titillium Web"/>
          <w:b w:val="1"/>
          <w:color w:val="0066cc"/>
          <w:sz w:val="24"/>
          <w:szCs w:val="24"/>
        </w:rPr>
      </w:pPr>
      <w:bookmarkStart w:colFirst="0" w:colLast="0" w:name="_i72nsdoamkdr" w:id="4"/>
      <w:bookmarkEnd w:id="4"/>
      <w:r w:rsidDel="00000000" w:rsidR="00000000" w:rsidRPr="00000000">
        <w:rPr>
          <w:rFonts w:ascii="Titillium Web" w:cs="Titillium Web" w:eastAsia="Titillium Web" w:hAnsi="Titillium Web"/>
          <w:b w:val="1"/>
          <w:color w:val="0066cc"/>
          <w:sz w:val="24"/>
          <w:szCs w:val="24"/>
          <w:rtl w:val="0"/>
        </w:rPr>
        <w:t xml:space="preserve">MODULO LIBERATORIA</w:t>
      </w:r>
    </w:p>
    <w:p w:rsidR="00000000" w:rsidDel="00000000" w:rsidP="00000000" w:rsidRDefault="00000000" w:rsidRPr="00000000" w14:paraId="00000011">
      <w:pPr>
        <w:pageBreakBefore w:val="0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center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center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6"/>
          <w:szCs w:val="36"/>
          <w:rtl w:val="0"/>
        </w:rPr>
        <w:t xml:space="preserve">TEST DI USABILITÀ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right="12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hd w:fill="ffb54c" w:val="clear"/>
          <w:rtl w:val="0"/>
        </w:rPr>
        <w:t xml:space="preserve">Denominazione Ente -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center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Liberatoria per il consenso alla registrazione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shd w:fill="ffb54c" w:val="clear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 </w:t>
        <w:br w:type="textWrapping"/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La ringraziamo per la sua partecipazione al nostro test di usabilità per il sito </w:t>
      </w:r>
      <w:r w:rsidDel="00000000" w:rsidR="00000000" w:rsidRPr="00000000">
        <w:rPr>
          <w:rFonts w:ascii="Titillium Web" w:cs="Titillium Web" w:eastAsia="Titillium Web" w:hAnsi="Titillium Web"/>
          <w:b w:val="1"/>
          <w:shd w:fill="ffb54c" w:val="clear"/>
          <w:rtl w:val="0"/>
        </w:rPr>
        <w:t xml:space="preserve">nome sito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Questo documento vuole informarla del fatto che registreremo la sua sessione a vantaggio dei membri del gruppo di ricerca che non possono essere presenti e per rivedere le informazioni in sede di analisi.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Trarremo un enorme vantaggio dal suo riscontro e apprezziamo il tempo che ci dedicherà.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Ad ogni modo, qualora non dovesse sentirsi a proprio agio, può in qualsiasi momento interrompere la sessione di test.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La preghiamo di leggere la dichiarazione seguente e di firmarla. Grazie.</w:t>
      </w: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rPr>
          <w:rFonts w:ascii="Titillium Web Light" w:cs="Titillium Web Light" w:eastAsia="Titillium Web Light" w:hAnsi="Titillium Web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Acconsento alla registrazione audio/video che verrà eseguita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b54c" w:val="clear"/>
          <w:rtl w:val="0"/>
        </w:rPr>
        <w:t xml:space="preserve">………...……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nei locali 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b54c" w:val="clear"/>
          <w:rtl w:val="0"/>
        </w:rPr>
        <w:t xml:space="preserve">………...……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durante la sessione di test. Autorizzo il gruppo di verifica dell’usabilità a utilizzare queste registrazioni esclusivamente per le finalità del test e preservo il mio diritto a rivedere e ispezionare le registrazioni prima del loro utilizzo. 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right="120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right="120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right="120"/>
        <w:jc w:val="right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Data</w:t>
        <w:tab/>
        <w:tab/>
        <w:tab/>
        <w:tab/>
        <w:t xml:space="preserve">………………………………..……………..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right="120"/>
        <w:jc w:val="right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right="120"/>
        <w:jc w:val="right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Nome per esteso (leggibile) </w:t>
        <w:tab/>
        <w:t xml:space="preserve">………………………………..……………..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right="120"/>
        <w:jc w:val="right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right="120"/>
        <w:jc w:val="right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Firma </w:t>
        <w:tab/>
        <w:tab/>
        <w:tab/>
        <w:tab/>
        <w:t xml:space="preserve">………………………………..……………..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right="120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before="200" w:line="276" w:lineRule="auto"/>
        <w:ind w:right="1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200" w:line="276" w:lineRule="auto"/>
        <w:ind w:right="120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Esempio di i</w:t>
      </w: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nformativa sul trattamento dei dati personali ai sensi dell’art. 13 del Regolamento (UE) 2016/679.</w:t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>
          <w:b w:val="1"/>
          <w:highlight w:val="white"/>
        </w:rPr>
      </w:pPr>
      <w:r w:rsidDel="00000000" w:rsidR="00000000" w:rsidRPr="00000000">
        <w:rPr>
          <w:color w:val="282828"/>
          <w:rtl w:val="0"/>
        </w:rPr>
        <w:t xml:space="preserve">Per un’informativa chiara usa 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icone vincitrici del contest ”Informative chiare”</w:t>
        </w:r>
      </w:hyperlink>
      <w:r w:rsidDel="00000000" w:rsidR="00000000" w:rsidRPr="00000000">
        <w:rPr>
          <w:color w:val="282828"/>
          <w:rtl w:val="0"/>
        </w:rPr>
        <w:t xml:space="preserve"> lanciato del Garante Privacy.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Titolare del trattamento dei dati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right="120"/>
        <w:rPr>
          <w:rFonts w:ascii="Titillium Web" w:cs="Titillium Web" w:eastAsia="Titillium Web" w:hAnsi="Titillium Web"/>
          <w:highlight w:val="cyan"/>
        </w:rPr>
      </w:pPr>
      <w:r w:rsidDel="00000000" w:rsidR="00000000" w:rsidRPr="00000000">
        <w:rPr>
          <w:shd w:fill="ffb54c" w:val="clear"/>
          <w:rtl w:val="0"/>
        </w:rPr>
        <w:t xml:space="preserve">Denominazione 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yellow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Responsabile della protezione dei dati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i w:val="1"/>
          <w:highlight w:val="white"/>
          <w:rtl w:val="0"/>
        </w:rPr>
        <w:t xml:space="preserve">(se nominato)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right="120"/>
        <w:rPr>
          <w:rFonts w:ascii="Titillium Web" w:cs="Titillium Web" w:eastAsia="Titillium Web" w:hAnsi="Titillium Web"/>
          <w:highlight w:val="cyan"/>
        </w:rPr>
      </w:pPr>
      <w:r w:rsidDel="00000000" w:rsidR="00000000" w:rsidRPr="00000000">
        <w:rPr>
          <w:shd w:fill="ffb54c" w:val="clear"/>
          <w:rtl w:val="0"/>
        </w:rPr>
        <w:t xml:space="preserve">Dati di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Titillium Web" w:cs="Titillium Web" w:eastAsia="Titillium Web" w:hAnsi="Titillium Web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Titillium Web" w:cs="Titillium Web" w:eastAsia="Titillium Web" w:hAnsi="Titillium Web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Autorità di controllo</w:t>
        <w:br w:type="textWrapping"/>
      </w: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Garante per la protezione dei dati personali </w:t>
        <w:br w:type="textWrapping"/>
        <w:t xml:space="preserve">Indirizzo e-mail: garante@gpdp.it</w:t>
        <w:br w:type="textWrapping"/>
        <w:t xml:space="preserve">Indirizzo PEC: protocollo@pec.gpdp.it</w:t>
        <w:br w:type="textWrapping"/>
        <w:t xml:space="preserve">Sito web: </w:t>
      </w:r>
      <w:hyperlink r:id="rId9">
        <w:r w:rsidDel="00000000" w:rsidR="00000000" w:rsidRPr="00000000">
          <w:rPr>
            <w:rFonts w:ascii="Titillium Web" w:cs="Titillium Web" w:eastAsia="Titillium Web" w:hAnsi="Titillium Web"/>
            <w:highlight w:val="white"/>
            <w:u w:val="single"/>
            <w:rtl w:val="0"/>
          </w:rPr>
          <w:t xml:space="preserve">https://www.garanteprivacy.it/</w:t>
        </w:r>
      </w:hyperlink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Finalità e base giuridica del trattamento dei dati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 dati dei partecipanti al test di usabilità sono raccolti e trattati </w:t>
      </w:r>
      <w:r w:rsidDel="00000000" w:rsidR="00000000" w:rsidRPr="00000000">
        <w:rPr>
          <w:rFonts w:ascii="Titillium Web" w:cs="Titillium Web" w:eastAsia="Titillium Web" w:hAnsi="Titillium Web"/>
          <w:highlight w:val="white"/>
          <w:u w:val="single"/>
          <w:rtl w:val="0"/>
        </w:rPr>
        <w:t xml:space="preserve">esclusivamente</w:t>
      </w: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 per consentire al Titolare di espletare le attività relative al test di usabilità, a fini statistici e/o di ricerca.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Gli interessati, per poter partecipare al test di usabilità, devono rilasciare il proprio consenso al trattamento dei dati personali da parte di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ffb54c" w:val="clear"/>
          <w:rtl w:val="0"/>
        </w:rPr>
        <w:t xml:space="preserve">[denominazione ente]</w:t>
      </w: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. Tutti i dati richiesti sono obbligatori e, in mancanza del loro conferimento o in assenza del consenso, </w:t>
      </w:r>
      <w:r w:rsidDel="00000000" w:rsidR="00000000" w:rsidRPr="00000000">
        <w:rPr>
          <w:shd w:fill="ffb54c" w:val="clear"/>
          <w:rtl w:val="0"/>
        </w:rPr>
        <w:t xml:space="preserve">[denominazione ente]</w:t>
      </w: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 non consentirà la partecipazione al test.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La base giuridica del trattamento dei dati personali è costituita dal consenso dell’interessato.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Categorie di destinatari dei dati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Titillium Web" w:cs="Titillium Web" w:eastAsia="Titillium Web" w:hAnsi="Titillium Web"/>
          <w:i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Il Titolare tratterà autonomamente i dati personali mediante il proprio personale incaricato. </w:t>
      </w:r>
      <w:r w:rsidDel="00000000" w:rsidR="00000000" w:rsidRPr="00000000">
        <w:rPr>
          <w:rFonts w:ascii="Titillium Web" w:cs="Titillium Web" w:eastAsia="Titillium Web" w:hAnsi="Titillium Web"/>
          <w:i w:val="1"/>
          <w:highlight w:val="white"/>
          <w:rtl w:val="0"/>
        </w:rPr>
        <w:t xml:space="preserve">-alternativa-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Titillium Web" w:cs="Titillium Web" w:eastAsia="Titillium Web" w:hAnsi="Titillium Web"/>
          <w:highlight w:val="yellow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Il Titolare tratterà i dati personali mediante il personale incaricato della </w:t>
      </w:r>
      <w:r w:rsidDel="00000000" w:rsidR="00000000" w:rsidRPr="00000000">
        <w:rPr>
          <w:rFonts w:ascii="Titillium Web" w:cs="Titillium Web" w:eastAsia="Titillium Web" w:hAnsi="Titillium Web"/>
          <w:shd w:fill="ffb54c" w:val="clear"/>
          <w:rtl w:val="0"/>
        </w:rPr>
        <w:t xml:space="preserve">[nome società esterna]</w:t>
      </w: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, Responsabile del trattamento </w:t>
      </w:r>
      <w:r w:rsidDel="00000000" w:rsidR="00000000" w:rsidRPr="00000000">
        <w:rPr>
          <w:rFonts w:ascii="Titillium Web" w:cs="Titillium Web" w:eastAsia="Titillium Web" w:hAnsi="Titillium Web"/>
          <w:shd w:fill="ffb54c" w:val="clear"/>
          <w:rtl w:val="0"/>
        </w:rPr>
        <w:t xml:space="preserve">[nome soggetto]</w:t>
      </w: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Luogo del trattamento dei dati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 dati personali sono trattati presso le sedi del Titolare, che non intende effettuare trasferimenti a Paesi terzi o a Organizzazioni internazionali.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Modalità del trattamento dei dati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Il Titolare tratta i dati personali dei partecipanti al test di usabilità adottando le opportune misure di sicurezza volte a impedire l’accesso, la divulgazione, la modifica o la distruzione dei dati personali, qualora non autorizzati. Il trattamento viene effettuato anche mediante strumenti informatici e/o telematici, con modalità organizzative e misure tecniche adeguate a garantirne la sicurezza.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 risultati del test di usabilità, che verranno utilizzati per finalità statistiche e/o di ricerca, saranno resi anonimi in modo da impedire l’identificazione del partecipante.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Periodo di conservazione dei dati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 dati personali raccolti per il test saranno cancellati decorso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ffb54c" w:val="clear"/>
          <w:rtl w:val="0"/>
        </w:rPr>
        <w:t xml:space="preserve">[durata tempo]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dalla data di effettuazione del test.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Titillium Web" w:cs="Titillium Web" w:eastAsia="Titillium Web" w:hAnsi="Titillium Web"/>
          <w:highlight w:val="yellow"/>
        </w:rPr>
      </w:pPr>
      <w:r w:rsidDel="00000000" w:rsidR="00000000" w:rsidRPr="00000000">
        <w:rPr>
          <w:rFonts w:ascii="Titillium Web" w:cs="Titillium Web" w:eastAsia="Titillium Web" w:hAnsi="Titillium Web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Titillium Web" w:cs="Titillium Web" w:eastAsia="Titillium Web" w:hAnsi="Titillium Web"/>
          <w:b w:val="1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highlight w:val="white"/>
          <w:rtl w:val="0"/>
        </w:rPr>
        <w:t xml:space="preserve">Diritti degli interessati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 partecipanti hanno il diritto di ottenere dal Titolare l’accesso ai propri dati personali, l’aggiornamento, l’integrazione, la rettifica o la cancellazione degli stessi, la limitazione del trattamento e il diritto di opporsi allo stesso, di chiedere la</w:t>
      </w:r>
      <w:r w:rsidDel="00000000" w:rsidR="00000000" w:rsidRPr="00000000">
        <w:rPr>
          <w:rFonts w:ascii="Titillium Web Light" w:cs="Titillium Web Light" w:eastAsia="Titillium Web Light" w:hAnsi="Titillium Web Light"/>
          <w:highlight w:val="white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trasformazione dei dati in forma anonima o il blocco dei dati trattati in violazione di legge, compresi quelli di cui non è necessaria la conservazione in relazione agli scopi del trattamento.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 partecipanti hanno diritto di revocare il proprio consenso in qualsiasi momento, senza pregiudicare la liceità del trattamento basata sul consenso prestato prima della revoca.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Le richieste vanno rivolte al Titolare del Trattamento; gli interessati possono, altresì, contattare il Responsabile della protezione dei dati per tutte le questioni inerenti al trattamento dei propri dati personali.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Titillium Web" w:cs="Titillium Web" w:eastAsia="Titillium Web" w:hAnsi="Titillium Web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E’ diritto degli interessati proporre reclamo presso il Garante per la protezione dei dati personali.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" w:cs="Titillium Web" w:eastAsia="Titillium Web" w:hAnsi="Titillium Web"/>
          <w:highlight w:val="white"/>
          <w:rtl w:val="0"/>
        </w:rPr>
        <w:t xml:space="preserve">Il Titolare garantisce che non è prevista alcuna forma di processo decisionale automatizzato che comporti effetti giuridici sull’interessato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ind w:left="5040" w:firstLine="0"/>
        <w:rPr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Quest'opera, realizzata per il progetto </w:t>
      </w:r>
      <w:hyperlink r:id="rId10">
        <w:r w:rsidDel="00000000" w:rsidR="00000000" w:rsidRPr="00000000">
          <w:rPr>
            <w:color w:val="0066cc"/>
            <w:sz w:val="14"/>
            <w:szCs w:val="14"/>
            <w:highlight w:val="white"/>
            <w:u w:val="single"/>
            <w:rtl w:val="0"/>
          </w:rPr>
          <w:t xml:space="preserve">Designers Italia</w:t>
        </w:r>
      </w:hyperlink>
      <w:r w:rsidDel="00000000" w:rsidR="00000000" w:rsidRPr="00000000">
        <w:rPr>
          <w:sz w:val="14"/>
          <w:szCs w:val="14"/>
          <w:highlight w:val="white"/>
          <w:rtl w:val="0"/>
        </w:rPr>
        <w:t xml:space="preserve">, è distribuita con </w:t>
      </w:r>
      <w:hyperlink r:id="rId11">
        <w:r w:rsidDel="00000000" w:rsidR="00000000" w:rsidRPr="00000000">
          <w:rPr>
            <w:color w:val="0066cc"/>
            <w:sz w:val="14"/>
            <w:szCs w:val="14"/>
            <w:highlight w:val="white"/>
            <w:u w:val="single"/>
            <w:rtl w:val="0"/>
          </w:rPr>
          <w:t xml:space="preserve">Licenza Creative Commons CC0 1.0 Universal - Donazione al Pubblico Dominio</w:t>
        </w:r>
      </w:hyperlink>
      <w:r w:rsidDel="00000000" w:rsidR="00000000" w:rsidRPr="00000000">
        <w:rPr>
          <w:color w:val="0066cc"/>
          <w:sz w:val="14"/>
          <w:szCs w:val="1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itillium Web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Titillium Web Ligh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spacing w:line="276" w:lineRule="auto"/>
      <w:jc w:val="right"/>
      <w:rPr>
        <w:sz w:val="18"/>
        <w:szCs w:val="18"/>
      </w:rPr>
    </w:pPr>
    <w:hyperlink r:id="rId1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sz w:val="14"/>
        <w:szCs w:val="14"/>
        <w:rtl w:val="0"/>
      </w:rPr>
      <w:tab/>
      <w:tab/>
      <w:tab/>
      <w:t xml:space="preserve">         Licenza </w:t>
    </w:r>
    <w:hyperlink r:id="rId2">
      <w:r w:rsidDel="00000000" w:rsidR="00000000" w:rsidRPr="00000000">
        <w:rPr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1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76" w:lineRule="auto"/>
      <w:rPr>
        <w:b w:val="1"/>
        <w:color w:val="333333"/>
        <w:sz w:val="16"/>
        <w:szCs w:val="16"/>
      </w:rPr>
    </w:pPr>
    <w:r w:rsidDel="00000000" w:rsidR="00000000" w:rsidRPr="00000000">
      <w:rPr>
        <w:b w:val="1"/>
        <w:color w:val="333333"/>
        <w:sz w:val="16"/>
        <w:szCs w:val="16"/>
        <w:rtl w:val="0"/>
      </w:rPr>
      <w:t xml:space="preserve">ATTENZIONE</w:t>
    </w:r>
  </w:p>
  <w:p w:rsidR="00000000" w:rsidDel="00000000" w:rsidP="00000000" w:rsidRDefault="00000000" w:rsidRPr="00000000" w14:paraId="00000057">
    <w:pPr>
      <w:spacing w:line="276" w:lineRule="auto"/>
      <w:rPr>
        <w:b w:val="1"/>
        <w:color w:val="202124"/>
        <w:sz w:val="20"/>
        <w:szCs w:val="20"/>
        <w:highlight w:val="white"/>
      </w:rPr>
    </w:pPr>
    <w:r w:rsidDel="00000000" w:rsidR="00000000" w:rsidRPr="00000000">
      <w:rPr>
        <w:b w:val="1"/>
        <w:color w:val="333333"/>
        <w:sz w:val="20"/>
        <w:szCs w:val="20"/>
        <w:rtl w:val="0"/>
      </w:rPr>
      <w:t xml:space="preserve">Questa risorsa </w:t>
    </w:r>
    <w:r w:rsidDel="00000000" w:rsidR="00000000" w:rsidRPr="00000000">
      <w:rPr>
        <w:b w:val="1"/>
        <w:color w:val="202124"/>
        <w:sz w:val="20"/>
        <w:szCs w:val="20"/>
        <w:highlight w:val="white"/>
        <w:rtl w:val="0"/>
      </w:rPr>
      <w:t xml:space="preserve">ha mero scopo divulgativo. </w:t>
    </w:r>
    <w:r w:rsidDel="00000000" w:rsidR="00000000" w:rsidRPr="00000000">
      <w:rPr>
        <w:color w:val="202124"/>
        <w:sz w:val="20"/>
        <w:szCs w:val="20"/>
        <w:highlight w:val="white"/>
        <w:rtl w:val="0"/>
      </w:rPr>
      <w:t xml:space="preserve">Per un quadro completo della materia, si rimanda alla legislazione in tema di protezione dei dati personali e ai provvedimenti dell'Autorità Garante per la protezione dei dati personali.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color w:val="434343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publicdomain/zero/1.0/deed.it" TargetMode="External"/><Relationship Id="rId10" Type="http://schemas.openxmlformats.org/officeDocument/2006/relationships/hyperlink" Target="http://designers.italia.it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aranteprivacy.i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funzionepubblica.gov.it/glu" TargetMode="External"/><Relationship Id="rId8" Type="http://schemas.openxmlformats.org/officeDocument/2006/relationships/hyperlink" Target="https://www.garanteprivacy.it/temi/informativechiare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TitilliumWeb-italic.ttf"/><Relationship Id="rId10" Type="http://schemas.openxmlformats.org/officeDocument/2006/relationships/font" Target="fonts/TitilliumWeb-bold.ttf"/><Relationship Id="rId13" Type="http://schemas.openxmlformats.org/officeDocument/2006/relationships/font" Target="fonts/TitilliumWebLight-regular.ttf"/><Relationship Id="rId12" Type="http://schemas.openxmlformats.org/officeDocument/2006/relationships/font" Target="fonts/TitilliumWeb-boldItalic.ttf"/><Relationship Id="rId1" Type="http://schemas.openxmlformats.org/officeDocument/2006/relationships/font" Target="fonts/TitilliumWebSemiBold-regular.ttf"/><Relationship Id="rId2" Type="http://schemas.openxmlformats.org/officeDocument/2006/relationships/font" Target="fonts/TitilliumWebSemiBold-bold.ttf"/><Relationship Id="rId3" Type="http://schemas.openxmlformats.org/officeDocument/2006/relationships/font" Target="fonts/TitilliumWebSemiBold-italic.ttf"/><Relationship Id="rId4" Type="http://schemas.openxmlformats.org/officeDocument/2006/relationships/font" Target="fonts/TitilliumWebSemiBold-boldItalic.ttf"/><Relationship Id="rId9" Type="http://schemas.openxmlformats.org/officeDocument/2006/relationships/font" Target="fonts/TitilliumWeb-regular.ttf"/><Relationship Id="rId15" Type="http://schemas.openxmlformats.org/officeDocument/2006/relationships/font" Target="fonts/TitilliumWebLight-italic.ttf"/><Relationship Id="rId14" Type="http://schemas.openxmlformats.org/officeDocument/2006/relationships/font" Target="fonts/TitilliumWebLight-bold.ttf"/><Relationship Id="rId16" Type="http://schemas.openxmlformats.org/officeDocument/2006/relationships/font" Target="fonts/TitilliumWebLight-boldItalic.ttf"/><Relationship Id="rId5" Type="http://schemas.openxmlformats.org/officeDocument/2006/relationships/font" Target="fonts/RobotoMonoLight-regular.ttf"/><Relationship Id="rId6" Type="http://schemas.openxmlformats.org/officeDocument/2006/relationships/font" Target="fonts/RobotoMonoLight-bold.ttf"/><Relationship Id="rId7" Type="http://schemas.openxmlformats.org/officeDocument/2006/relationships/font" Target="fonts/RobotoMonoLight-italic.ttf"/><Relationship Id="rId8" Type="http://schemas.openxmlformats.org/officeDocument/2006/relationships/font" Target="fonts/RobotoMon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