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  <w:drawing>
          <wp:inline distB="114300" distT="114300" distL="114300" distR="114300">
            <wp:extent cx="899710" cy="1252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9759" l="0" r="-13333" t="-9216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tillium Web" w:cs="Titillium Web" w:eastAsia="Titillium Web" w:hAnsi="Titillium Web"/>
          <w:b w:val="1"/>
          <w:color w:val="1155cc"/>
          <w:sz w:val="80"/>
          <w:szCs w:val="8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80"/>
          <w:szCs w:val="80"/>
          <w:rtl w:val="0"/>
        </w:rPr>
        <w:t xml:space="preserve">Test di Usabilità</w:t>
      </w:r>
    </w:p>
    <w:p w:rsidR="00000000" w:rsidDel="00000000" w:rsidP="00000000" w:rsidRDefault="00000000" w:rsidRPr="00000000" w14:paraId="00000003">
      <w:pPr>
        <w:pageBreakBefore w:val="0"/>
        <w:ind w:right="168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32"/>
          <w:szCs w:val="32"/>
          <w:rtl w:val="0"/>
        </w:rPr>
        <w:t xml:space="preserve">Osserva come gli utenti interagiscono con un servizio digitale per renderlo più usabile.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shd w:fill="15e7f2" w:val="clear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155cc"/>
          <w:sz w:val="36"/>
          <w:szCs w:val="36"/>
          <w:shd w:fill="15e7f2" w:val="clear"/>
          <w:rtl w:val="0"/>
        </w:rPr>
        <w:t xml:space="preserve">→ 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shd w:fill="15e7f2" w:val="clear"/>
          <w:rtl w:val="0"/>
        </w:rPr>
        <w:t xml:space="preserve">DOMANDE UMUX Lite</w:t>
      </w:r>
    </w:p>
    <w:p w:rsidR="00000000" w:rsidDel="00000000" w:rsidP="00000000" w:rsidRDefault="00000000" w:rsidRPr="00000000" w14:paraId="0000000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sz w:val="24"/>
          <w:szCs w:val="24"/>
          <w:rtl w:val="0"/>
        </w:rPr>
        <w:t xml:space="preserve">rif.: allegato 7 del Protocollo eGLU: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tillium Web" w:cs="Titillium Web" w:eastAsia="Titillium Web" w:hAnsi="Titillium Web"/>
            <w:b w:val="1"/>
            <w:color w:val="1155cc"/>
            <w:sz w:val="24"/>
            <w:szCs w:val="24"/>
            <w:u w:val="single"/>
            <w:rtl w:val="0"/>
          </w:rPr>
          <w:t xml:space="preserve">http://www.funzionepubblica.gov.it/glu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u w:val="single"/>
          <w:rtl w:val="0"/>
        </w:rPr>
        <w:t xml:space="preserve">ISTRUZIONI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0" w:lineRule="auto"/>
              <w:ind w:right="-332.0078740157476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Chiedi a ciascun partecipante di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compilare le domande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qui in allegato. Queste domande sono in alternativa all’utilizzo del questionario SUS.</w:t>
            </w:r>
          </w:p>
          <w:p w:rsidR="00000000" w:rsidDel="00000000" w:rsidP="00000000" w:rsidRDefault="00000000" w:rsidRPr="00000000" w14:paraId="0000000D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Calcola il punteggio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utilizzando la tabella di calcolo in allegato </w:t>
            </w:r>
          </w:p>
          <w:p w:rsidR="00000000" w:rsidDel="00000000" w:rsidP="00000000" w:rsidRDefault="00000000" w:rsidRPr="00000000" w14:paraId="00000010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o manualmente secondo la seguente procedura:</w:t>
            </w:r>
          </w:p>
          <w:p w:rsidR="00000000" w:rsidDel="00000000" w:rsidP="00000000" w:rsidRDefault="00000000" w:rsidRPr="00000000" w14:paraId="00000011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ind w:left="720" w:right="1085.3149606299216" w:hanging="36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Trascrivi i punteggi che i partecipanti danno alle due domande (D1 e D2)</w:t>
            </w:r>
          </w:p>
          <w:p w:rsidR="00000000" w:rsidDel="00000000" w:rsidP="00000000" w:rsidRDefault="00000000" w:rsidRPr="00000000" w14:paraId="00000013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2"/>
              </w:numPr>
              <w:ind w:left="720" w:right="1793.9763779527573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Calcola il Totale assoluto applicando la formula =(((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punteggio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D1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-1)+(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punteggio D2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-1))*(100/12))</w:t>
            </w:r>
          </w:p>
          <w:p w:rsidR="00000000" w:rsidDel="00000000" w:rsidP="00000000" w:rsidRDefault="00000000" w:rsidRPr="00000000" w14:paraId="00000015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ind w:left="720" w:right="376.65354330708624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Calcola il Totale standardizzato applicando la formula =0,65*(((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punteggio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D1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-1)+(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punteggio D2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-1))*(100/12))+22,9</w:t>
            </w:r>
          </w:p>
          <w:p w:rsidR="00000000" w:rsidDel="00000000" w:rsidP="00000000" w:rsidRDefault="00000000" w:rsidRPr="00000000" w14:paraId="00000017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DATI DEL PARTECIPANTE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999999"/>
                <w:sz w:val="24"/>
                <w:szCs w:val="24"/>
                <w:rtl w:val="0"/>
              </w:rPr>
              <w:t xml:space="preserve">…………..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999999"/>
                <w:sz w:val="20"/>
                <w:szCs w:val="20"/>
                <w:rtl w:val="0"/>
              </w:rPr>
              <w:t xml:space="preserve">[ n.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SCALA DI VALUTAZIONE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999999999998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052.882615156018"/>
        <w:gridCol w:w="966.0624071322436"/>
        <w:gridCol w:w="966.0624071322436"/>
        <w:gridCol w:w="966.0624071322436"/>
        <w:gridCol w:w="979.479940564636"/>
        <w:gridCol w:w="992.8974739970283"/>
        <w:gridCol w:w="2106.552748885587"/>
        <w:tblGridChange w:id="0">
          <w:tblGrid>
            <w:gridCol w:w="2052.882615156018"/>
            <w:gridCol w:w="966.0624071322436"/>
            <w:gridCol w:w="966.0624071322436"/>
            <w:gridCol w:w="966.0624071322436"/>
            <w:gridCol w:w="979.479940564636"/>
            <w:gridCol w:w="992.8974739970283"/>
            <w:gridCol w:w="2106.552748885587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rtl w:val="0"/>
              </w:rPr>
              <w:t xml:space="preserve">Fortemente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rtl w:val="0"/>
              </w:rPr>
              <w:t xml:space="preserve">in disaccordo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rtl w:val="0"/>
              </w:rPr>
              <w:t xml:space="preserve">Fortemente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rtl w:val="0"/>
              </w:rPr>
              <w:t xml:space="preserve">d’accordo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right="369.330708661418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Le caratteristiche del sito web incontrano le mie necessità  </w:t>
      </w:r>
    </w:p>
    <w:p w:rsidR="00000000" w:rsidDel="00000000" w:rsidP="00000000" w:rsidRDefault="00000000" w:rsidRPr="00000000" w14:paraId="0000003B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999999999998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052.882615156018"/>
        <w:gridCol w:w="966.0624071322436"/>
        <w:gridCol w:w="966.0624071322436"/>
        <w:gridCol w:w="966.0624071322436"/>
        <w:gridCol w:w="979.479940564636"/>
        <w:gridCol w:w="992.8974739970283"/>
        <w:gridCol w:w="2106.552748885587"/>
        <w:tblGridChange w:id="0">
          <w:tblGrid>
            <w:gridCol w:w="2052.882615156018"/>
            <w:gridCol w:w="966.0624071322436"/>
            <w:gridCol w:w="966.0624071322436"/>
            <w:gridCol w:w="966.0624071322436"/>
            <w:gridCol w:w="979.479940564636"/>
            <w:gridCol w:w="992.8974739970283"/>
            <w:gridCol w:w="2106.55274888558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right="369.330708661418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Questo sito web è facile da usare </w:t>
      </w:r>
    </w:p>
    <w:p w:rsidR="00000000" w:rsidDel="00000000" w:rsidP="00000000" w:rsidRDefault="00000000" w:rsidRPr="00000000" w14:paraId="00000048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999999999998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052.882615156018"/>
        <w:gridCol w:w="966.0624071322436"/>
        <w:gridCol w:w="966.0624071322436"/>
        <w:gridCol w:w="966.0624071322436"/>
        <w:gridCol w:w="979.479940564636"/>
        <w:gridCol w:w="992.8974739970283"/>
        <w:gridCol w:w="2106.552748885587"/>
        <w:tblGridChange w:id="0">
          <w:tblGrid>
            <w:gridCol w:w="2052.882615156018"/>
            <w:gridCol w:w="966.0624071322436"/>
            <w:gridCol w:w="966.0624071322436"/>
            <w:gridCol w:w="966.0624071322436"/>
            <w:gridCol w:w="979.479940564636"/>
            <w:gridCol w:w="992.8974739970283"/>
            <w:gridCol w:w="2106.55274888558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666666"/>
          <w:sz w:val="24"/>
          <w:szCs w:val="24"/>
          <w:rtl w:val="0"/>
        </w:rPr>
        <w:t xml:space="preserve">Tabella di calcolo delle domande UMUX Lite</w:t>
      </w:r>
    </w:p>
    <w:p w:rsidR="00000000" w:rsidDel="00000000" w:rsidP="00000000" w:rsidRDefault="00000000" w:rsidRPr="00000000" w14:paraId="0000005A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1710"/>
        <w:gridCol w:w="765"/>
        <w:gridCol w:w="750"/>
        <w:gridCol w:w="2640"/>
        <w:gridCol w:w="3150"/>
        <w:tblGridChange w:id="0">
          <w:tblGrid>
            <w:gridCol w:w="1710"/>
            <w:gridCol w:w="765"/>
            <w:gridCol w:w="750"/>
            <w:gridCol w:w="264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Partecipante n.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Totale assoluto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Totale standardizzato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720" w:hanging="360"/>
        <w:rPr>
          <w:rFonts w:ascii="Titillium Web" w:cs="Titillium Web" w:eastAsia="Titillium Web" w:hAnsi="Titillium Web"/>
          <w:b w:val="1"/>
          <w:color w:val="1155cc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rtl w:val="0"/>
        </w:rPr>
        <w:t xml:space="preserve">tabella di calcolo in automatico a questo link: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rtl w:val="0"/>
        </w:rPr>
        <w:t xml:space="preserve"> </w:t>
      </w:r>
      <w:hyperlink r:id="rId8">
        <w:r w:rsidDel="00000000" w:rsidR="00000000" w:rsidRPr="00000000">
          <w:rPr>
            <w:rFonts w:ascii="Titillium Web" w:cs="Titillium Web" w:eastAsia="Titillium Web" w:hAnsi="Titillium Web"/>
            <w:b w:val="1"/>
            <w:color w:val="1155cc"/>
            <w:u w:val="single"/>
            <w:rtl w:val="0"/>
          </w:rPr>
          <w:t xml:space="preserve">https://goo.gl/yJuYRQ</w:t>
        </w:r>
      </w:hyperlink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right"/>
      <w:rPr/>
    </w:pPr>
    <w:hyperlink r:id="rId1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rFonts w:ascii="Titillium Web" w:cs="Titillium Web" w:eastAsia="Titillium Web" w:hAnsi="Titillium Web"/>
        <w:color w:val="434343"/>
        <w:sz w:val="14"/>
        <w:szCs w:val="14"/>
        <w:rtl w:val="0"/>
      </w:rPr>
      <w:tab/>
      <w:tab/>
      <w:tab/>
      <w:t xml:space="preserve">         Licenza </w:t>
    </w:r>
    <w:hyperlink r:id="rId2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b="0" l="0" r="0" t="0"/>
          <wp:wrapNone/>
          <wp:docPr descr="Designers Italia" id="3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711868" cy="41433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funzionepubblica.gov.it/glu" TargetMode="External"/><Relationship Id="rId8" Type="http://schemas.openxmlformats.org/officeDocument/2006/relationships/hyperlink" Target="https://goo.gl/yJuYR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NovaMon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