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7D0F2" w14:textId="3F014486" w:rsidR="00AE29AD" w:rsidRPr="00B27A0B" w:rsidRDefault="00B27A0B" w:rsidP="00B27A0B">
      <w:pPr>
        <w:ind w:right="120"/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</w:pPr>
      <w:r w:rsidRPr="00B27A0B"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  <w:t>TABELLA RIASSUNTIVA PARTECIPANTI</w:t>
      </w:r>
    </w:p>
    <w:p w14:paraId="2E07C0F0" w14:textId="77777777" w:rsidR="00AE29AD" w:rsidRDefault="00AE29AD" w:rsidP="00B27A0B">
      <w:pPr>
        <w:ind w:right="232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96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728"/>
        <w:gridCol w:w="576"/>
        <w:gridCol w:w="1441"/>
        <w:gridCol w:w="1296"/>
        <w:gridCol w:w="1295"/>
        <w:gridCol w:w="1296"/>
        <w:gridCol w:w="1584"/>
      </w:tblGrid>
      <w:tr w:rsidR="00741188" w14:paraId="5EFDC0EB" w14:textId="77777777" w:rsidTr="00320568">
        <w:trPr>
          <w:trHeight w:val="290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75AD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5A6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Partecipante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33198C" w14:textId="4039A1E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Età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C5A" w14:textId="49DB976E" w:rsidR="00741188" w:rsidRDefault="00624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 xml:space="preserve">Ufficio o </w:t>
            </w:r>
            <w:proofErr w:type="spellStart"/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attvità</w:t>
            </w:r>
            <w:proofErr w:type="spellEnd"/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B4555E" w14:textId="4E0FAC33" w:rsidR="00741188" w:rsidRDefault="00741188" w:rsidP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Internet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DEA0" w14:textId="404A2DC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Sito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D31F211" w14:textId="27CD6809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Conduttori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47D7" w14:textId="0247725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Inizio sessione</w:t>
            </w:r>
          </w:p>
        </w:tc>
      </w:tr>
      <w:tr w:rsidR="00741188" w14:paraId="0E0B5A05" w14:textId="77777777" w:rsidTr="00320568">
        <w:trPr>
          <w:trHeight w:val="655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F1F4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FDC6" w14:textId="3C5B9B44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Gianpiero Fiore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AD8EE8B" w14:textId="471576A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07E" w14:textId="1767F970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UniBa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– Scienze beni culturali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362C4DC" w14:textId="7B8B7258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A0A" w14:textId="31CD7005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1CF204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Ferrulli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, </w:t>
            </w:r>
          </w:p>
          <w:p w14:paraId="755E850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Tubito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, </w:t>
            </w:r>
          </w:p>
          <w:p w14:paraId="1B5B39C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Vicenti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, </w:t>
            </w:r>
          </w:p>
          <w:p w14:paraId="1952B0BD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Vignola, </w:t>
            </w:r>
          </w:p>
          <w:p w14:paraId="52AD5AFF" w14:textId="18E8B13E" w:rsidR="007B79A9" w:rsidRP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821D" w14:textId="6020501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449D8353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303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2D08" w14:textId="7D00F38E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Teresa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Disabato</w:t>
            </w:r>
            <w:proofErr w:type="spellEnd"/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0EB6EAE" w14:textId="295940A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19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7CC" w14:textId="194B1F83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Liceo Classico Cagnazzi</w:t>
            </w:r>
            <w:r w:rsidR="007B79A9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3AB02D4" w14:textId="57C8C883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A1AD" w14:textId="0AD79E68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CA886F9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Tubito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, </w:t>
            </w:r>
          </w:p>
          <w:p w14:paraId="1BEA3BE2" w14:textId="638ECDCD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Vignola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21AB" w14:textId="5F88BDE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6412259A" w14:textId="77777777" w:rsidTr="00320568">
        <w:trPr>
          <w:trHeight w:val="441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E329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9E33" w14:textId="09DDAB67" w:rsidR="00741188" w:rsidRPr="00F61979" w:rsidRDefault="00F6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 w:rsidRPr="00F61979">
              <w:rPr>
                <w:rFonts w:ascii="Titillium Web" w:eastAsia="Titillium Web" w:hAnsi="Titillium Web" w:cs="Titillium Web"/>
                <w:b/>
                <w:bCs/>
                <w:color w:val="808080" w:themeColor="background1" w:themeShade="80"/>
                <w:sz w:val="20"/>
                <w:szCs w:val="20"/>
              </w:rPr>
              <w:t>Daniel</w:t>
            </w:r>
            <w:bookmarkStart w:id="0" w:name="_GoBack"/>
            <w:bookmarkEnd w:id="0"/>
            <w:r w:rsidRPr="00F61979">
              <w:rPr>
                <w:rFonts w:ascii="Titillium Web" w:eastAsia="Titillium Web" w:hAnsi="Titillium Web" w:cs="Titillium Web"/>
                <w:b/>
                <w:bCs/>
                <w:color w:val="808080" w:themeColor="background1" w:themeShade="80"/>
                <w:sz w:val="20"/>
                <w:szCs w:val="20"/>
              </w:rPr>
              <w:t>e</w:t>
            </w:r>
            <w:r w:rsidRPr="00F61979">
              <w:rPr>
                <w:rFonts w:ascii="Titillium Web" w:eastAsia="Titillium Web" w:hAnsi="Titillium Web" w:cs="Titillium Web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F61979">
              <w:rPr>
                <w:rFonts w:ascii="Titillium Web" w:eastAsia="Titillium Web" w:hAnsi="Titillium Web" w:cs="Titillium Web"/>
                <w:b/>
                <w:bCs/>
                <w:color w:val="808080" w:themeColor="background1" w:themeShade="80"/>
                <w:sz w:val="20"/>
                <w:szCs w:val="20"/>
              </w:rPr>
              <w:t>Benrhouma</w:t>
            </w:r>
            <w:proofErr w:type="spellEnd"/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6BBA613" w14:textId="146F86B8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B922" w14:textId="70A1AC38" w:rsidR="00741188" w:rsidRDefault="000E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Simone service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78A72C4" w14:textId="41B4DA84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95C3" w14:textId="09EB2D39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B22958C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Ferrulli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, </w:t>
            </w:r>
          </w:p>
          <w:p w14:paraId="45273B9D" w14:textId="4EC54810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5C71" w14:textId="04081556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534313CC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7AE2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0631" w14:textId="7BF90BC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Isa</w:t>
            </w:r>
            <w:r w:rsidR="003B6AD2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bella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Clemente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F06FF0" w14:textId="4FF5AFF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7AB1" w14:textId="4A7881E8" w:rsidR="00741188" w:rsidRDefault="00B05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Siopen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0D20AF9" w14:textId="53054BDB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0B2C" w14:textId="28587379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F95D40C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Tubito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, </w:t>
            </w:r>
          </w:p>
          <w:p w14:paraId="2657A6A9" w14:textId="606FEE36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Vicenti</w:t>
            </w:r>
            <w:proofErr w:type="spellEnd"/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5300" w14:textId="0D26D8CB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</w:tbl>
    <w:p w14:paraId="3D34AA94" w14:textId="77777777" w:rsidR="00AE29AD" w:rsidRDefault="00AE29AD">
      <w:pPr>
        <w:ind w:right="232"/>
        <w:rPr>
          <w:rFonts w:ascii="Titillium Web" w:eastAsia="Titillium Web" w:hAnsi="Titillium Web" w:cs="Titillium Web"/>
          <w:color w:val="666666"/>
          <w:sz w:val="18"/>
          <w:szCs w:val="18"/>
        </w:rPr>
      </w:pPr>
    </w:p>
    <w:p w14:paraId="2880CE07" w14:textId="77777777" w:rsidR="00AE29AD" w:rsidRDefault="008A2B46">
      <w:pPr>
        <w:ind w:right="3063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18"/>
          <w:szCs w:val="18"/>
        </w:rPr>
        <w:t>Esperienza Internet/sito: ALTA = + volte al giorno / MEDIA = 1 volta al giorno / BASSA= 1 volta a settimana / NULLA = molto raramente</w:t>
      </w:r>
    </w:p>
    <w:sectPr w:rsidR="00AE29AD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AE0CD" w14:textId="77777777" w:rsidR="007D330E" w:rsidRDefault="007D330E">
      <w:pPr>
        <w:spacing w:line="240" w:lineRule="auto"/>
      </w:pPr>
      <w:r>
        <w:separator/>
      </w:r>
    </w:p>
  </w:endnote>
  <w:endnote w:type="continuationSeparator" w:id="0">
    <w:p w14:paraId="19769BC5" w14:textId="77777777" w:rsidR="007D330E" w:rsidRDefault="007D3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Titillium Web SemiBold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8F408" w14:textId="77777777" w:rsidR="00AE29AD" w:rsidRDefault="007D330E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5C770" w14:textId="77777777" w:rsidR="00AE29AD" w:rsidRDefault="007D330E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95755" w14:textId="77777777" w:rsidR="007D330E" w:rsidRDefault="007D330E">
      <w:pPr>
        <w:spacing w:line="240" w:lineRule="auto"/>
      </w:pPr>
      <w:r>
        <w:separator/>
      </w:r>
    </w:p>
  </w:footnote>
  <w:footnote w:type="continuationSeparator" w:id="0">
    <w:p w14:paraId="4FF09510" w14:textId="77777777" w:rsidR="007D330E" w:rsidRDefault="007D33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409F5ECE"/>
    <w:multiLevelType w:val="hybridMultilevel"/>
    <w:tmpl w:val="4596E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AD"/>
    <w:rsid w:val="000D3621"/>
    <w:rsid w:val="000E2894"/>
    <w:rsid w:val="001B1C22"/>
    <w:rsid w:val="00243AFB"/>
    <w:rsid w:val="00261FC0"/>
    <w:rsid w:val="0027447F"/>
    <w:rsid w:val="00320568"/>
    <w:rsid w:val="00342CFB"/>
    <w:rsid w:val="003B6AD2"/>
    <w:rsid w:val="00581D8E"/>
    <w:rsid w:val="005E5D34"/>
    <w:rsid w:val="00624034"/>
    <w:rsid w:val="00741188"/>
    <w:rsid w:val="007B79A9"/>
    <w:rsid w:val="007D330E"/>
    <w:rsid w:val="008A2B46"/>
    <w:rsid w:val="00A811C4"/>
    <w:rsid w:val="00AE29AD"/>
    <w:rsid w:val="00B0575C"/>
    <w:rsid w:val="00B27A0B"/>
    <w:rsid w:val="00F6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7B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10</cp:revision>
  <dcterms:created xsi:type="dcterms:W3CDTF">2022-05-23T16:50:00Z</dcterms:created>
  <dcterms:modified xsi:type="dcterms:W3CDTF">2022-06-09T15:10:00Z</dcterms:modified>
</cp:coreProperties>
</file>