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2FBE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2255C048" wp14:editId="4EBE3E15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65E72" w14:textId="77777777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6BC20DC2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78897520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BD39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47E5DCFE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585BD955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56AD82A5" w14:textId="77777777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75784D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4</w:t>
            </w:r>
          </w:p>
          <w:p w14:paraId="5979DBF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2F78AE3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D97F43D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2981B6D5" w14:textId="77777777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851093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Isabella</w:t>
            </w:r>
          </w:p>
          <w:p w14:paraId="704FC7B7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FADBC7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07247E0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1E045127" w14:textId="77777777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r w:rsidR="00851093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Clemente</w:t>
            </w:r>
          </w:p>
          <w:p w14:paraId="26AA00E3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62F0D563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4C371766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703C8719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3AFE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7C67118A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1918D139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81F355F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104F6A29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1A868E8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44CD6718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6F8E341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lastRenderedPageBreak/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6532FECA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TITOLO TASK</w:t>
            </w:r>
          </w:p>
          <w:p w14:paraId="706584D7" w14:textId="77777777" w:rsidR="0099443F" w:rsidRPr="009808F7" w:rsidRDefault="0099443F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01A616CF" w14:textId="77777777" w:rsidR="0099443F" w:rsidRDefault="0099443F">
            <w:pPr>
              <w:widowControl w:val="0"/>
              <w:spacing w:before="200" w:line="240" w:lineRule="auto"/>
            </w:pPr>
          </w:p>
          <w:p w14:paraId="5BC5A97C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DESCRIZIONE TASK</w:t>
            </w:r>
          </w:p>
          <w:p w14:paraId="4903F348" w14:textId="77777777" w:rsidR="00226AB0" w:rsidRPr="009808F7" w:rsidRDefault="0099443F" w:rsidP="002E6AAB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t>Stai pensando di iscriverti all’università di Firenze ad informatica, vuoi sapere più informazioni riguardant</w:t>
            </w:r>
            <w:r w:rsidR="002E6AAB" w:rsidRPr="009808F7">
              <w:rPr>
                <w:rFonts w:ascii="Titillium Web" w:hAnsi="Titillium Web"/>
                <w:color w:val="E36C0A" w:themeColor="accent6" w:themeShade="BF"/>
              </w:rPr>
              <w:t>i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il corso di laurea.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Pertanto,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partendo dalla home page cerca di trovare nel sito le informazioni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sul corso di laurea di informatica a Firenze.</w:t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3798F26A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C2E1FC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1989D82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6DF4543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4E710EA8" w14:textId="77777777" w:rsid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24C16E0" w14:textId="77777777" w:rsidR="007E6BAE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si deve trovare sulla pagina: </w:t>
                  </w:r>
                  <w:hyperlink r:id="rId8" w:history="1">
                    <w:r w:rsidR="007E6BAE"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1C167308" w14:textId="77777777" w:rsidR="00E87DF5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2447C3B6" w14:textId="77777777" w:rsidR="007E6BAE" w:rsidRDefault="007E6BA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02BF3BB" w14:textId="77777777" w:rsidR="00902FAF" w:rsidRDefault="00902FAF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61324C3C" w14:textId="77777777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61A38B03" w14:textId="77777777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voce “Corsi di Laurea”;</w:t>
                  </w:r>
                </w:p>
                <w:p w14:paraId="5A18DD89" w14:textId="77777777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6F7BCBF" w14:textId="77777777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6910950B" w14:textId="77777777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3C32C6E6" w14:textId="77777777" w:rsidR="00902FAF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“Ingegneria”;</w:t>
                  </w:r>
                </w:p>
                <w:p w14:paraId="030541B8" w14:textId="77777777" w:rsidR="00EA48E0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“Ingegneria Informatica” nella tabella </w:t>
                  </w:r>
                </w:p>
                <w:p w14:paraId="7BB6F35A" w14:textId="77777777" w:rsidR="00EA48E0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LAUREA/</w:t>
                  </w:r>
                </w:p>
                <w:p w14:paraId="34A2B6CA" w14:textId="77777777" w:rsidR="00EA48E0" w:rsidRPr="00902FAF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DENOMINAZIONE CORSO”</w:t>
                  </w:r>
                  <w:r w:rsidR="00A3775D">
                    <w:rPr>
                      <w:rFonts w:eastAsia="Calibri" w:cstheme="minorHAnsi"/>
                      <w:bCs/>
                      <w:sz w:val="24"/>
                      <w:szCs w:val="24"/>
                    </w:rPr>
                    <w:t>;</w:t>
                  </w:r>
                </w:p>
                <w:p w14:paraId="614B2DEF" w14:textId="77777777" w:rsidR="00226AB0" w:rsidRP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308551EF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A02FDC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5A50C5A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7D799F6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153A2DDD" w14:textId="133A7481" w:rsidR="00226AB0" w:rsidRDefault="00F265B4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La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partecipante,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dopo aver ispezionato per </w:t>
                  </w:r>
                  <w:r w:rsidR="00A66DF9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la prima volta l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a 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homepage del sito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decide di cliccare su 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Iscrizioni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, 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poi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su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“I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mmatricolazioni e 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scrizioni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”, dopodiché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si sofferma a leggere le varie voci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per poi andare su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C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orsi di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L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aurea triennali a ciclo unico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. Il risultato ottenuto non 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è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quello sperato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quindi ricerca la parola chiave 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“I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nformatica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nel sito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ma 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lastRenderedPageBreak/>
                    <w:t xml:space="preserve">ancora una volta rimane perplessa 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perché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non compa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iono i risultati desiderati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. Tornando indietro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 la partecipante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nota la voce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didattica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e cliccandoci sopra compare l’opzione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cor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 di laurea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dopodiché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“T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riennale e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M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agistrale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”; La partecipante, dopo una ricerca sulla pagina, riesce a individuare il Corso di Laurea in Informatica</w:t>
                  </w:r>
                  <w:r w:rsidR="00A66DF9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.</w:t>
                  </w:r>
                </w:p>
                <w:p w14:paraId="73FE334D" w14:textId="77777777" w:rsidR="00411343" w:rsidRDefault="00A66DF9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Task riusc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ito</w:t>
                  </w:r>
                </w:p>
              </w:tc>
            </w:tr>
            <w:tr w:rsidR="007A1D36" w14:paraId="0B8C74D6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FCE3E83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641209A" w14:textId="17B47AB7" w:rsidR="007A1D36" w:rsidRPr="007E6BAE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A66DF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F265B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3 min 17 sec</w:t>
                  </w:r>
                </w:p>
              </w:tc>
            </w:tr>
          </w:tbl>
          <w:p w14:paraId="266AF4C2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D17B501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187C8FE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136AC1E" w14:textId="77777777" w:rsidR="007F6813" w:rsidRDefault="007F6813" w:rsidP="007F681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2975A77C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21A6F673" w14:textId="77777777" w:rsidR="00F33922" w:rsidRPr="009808F7" w:rsidRDefault="00F33922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Visionare le opportunità di lavoro (tipicamente chiamate job placement o Career service)</w:t>
      </w:r>
    </w:p>
    <w:p w14:paraId="1D4953D0" w14:textId="77777777" w:rsidR="00EB6FD0" w:rsidRPr="00EB6FD0" w:rsidRDefault="00EB6FD0">
      <w:pPr>
        <w:widowControl w:val="0"/>
        <w:spacing w:before="200" w:line="240" w:lineRule="auto"/>
        <w:rPr>
          <w:b/>
          <w:bCs/>
        </w:rPr>
      </w:pPr>
    </w:p>
    <w:p w14:paraId="21210CF9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p w14:paraId="0BFB6358" w14:textId="77777777" w:rsidR="00F33922" w:rsidRPr="009808F7" w:rsidRDefault="00F33922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 w:rsidRPr="009808F7">
        <w:rPr>
          <w:rFonts w:ascii="Titillium Web" w:hAnsi="Titillium Web"/>
          <w:color w:val="E36C0A" w:themeColor="accent6" w:themeShade="BF"/>
        </w:rPr>
        <w:t xml:space="preserve">Stai pensando di iscriverti all’università di Firenze </w:t>
      </w:r>
      <w:r w:rsidR="0040235A" w:rsidRPr="009808F7">
        <w:rPr>
          <w:rFonts w:ascii="Titillium Web" w:hAnsi="Titillium Web"/>
          <w:color w:val="E36C0A" w:themeColor="accent6" w:themeShade="BF"/>
        </w:rPr>
        <w:t>e sei curioso delle opportunità di lavoro che può darti tale università. Partendo dalla homepage cerca di trovare nel sito le informazioni sulle opportunità di lavoro, tipicamente chiamate job placement o Career service.</w:t>
      </w:r>
    </w:p>
    <w:p w14:paraId="461EEF9D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2BDB248E" w14:textId="77777777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95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98"/>
      </w:tblGrid>
      <w:tr w:rsidR="00226AB0" w14:paraId="2ABBA90E" w14:textId="77777777" w:rsidTr="00BB7B93">
        <w:tc>
          <w:tcPr>
            <w:tcW w:w="95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96C1F4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1161489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71E810C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08496275" w14:textId="77777777" w:rsidR="00226AB0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EA48E0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423E76">
                    <w:t xml:space="preserve"> </w:t>
                  </w:r>
                  <w:hyperlink r:id="rId9" w:history="1">
                    <w:r w:rsidR="00423E76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0252E5B8" w14:textId="77777777" w:rsidR="00E87DF5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14374B2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53E0BAFD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6F726315" w14:textId="77777777" w:rsid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12502168" w14:textId="77777777" w:rsidR="00423E76" w:rsidRP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271E412A" w14:textId="77777777" w:rsidR="00423E76" w:rsidRPr="00E87DF5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4EB6AC71" w14:textId="77777777" w:rsidR="00E87DF5" w:rsidRPr="00E87DF5" w:rsidRDefault="00E87DF5" w:rsidP="00E87DF5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1025021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60C8DD19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lastRenderedPageBreak/>
                    <w:t>Possibile sequenza di operazioni per arrivare alla soluzione dalla</w:t>
                  </w:r>
                </w:p>
                <w:p w14:paraId="14D7037E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7ADB279" w14:textId="77777777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7DA47A2F" w14:textId="77777777" w:rsidR="00423E76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29F0600D" w14:textId="77777777" w:rsidR="00A3775D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“Osservatorio del Job Placement”</w:t>
                  </w:r>
                </w:p>
                <w:p w14:paraId="05A199AF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23918294" w14:textId="77777777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“UNIFIORIENTA”;</w:t>
                  </w:r>
                </w:p>
                <w:p w14:paraId="204B1D7E" w14:textId="77777777" w:rsidR="00A3775D" w:rsidRP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“Orientamento al lavoro-placement”;</w:t>
                  </w:r>
                </w:p>
                <w:p w14:paraId="7CB72750" w14:textId="77777777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63F899F8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1F8285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3379B41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74BF67D" w14:textId="77777777" w:rsidR="00411343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  <w:r w:rsidR="0064484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  <w:p w14:paraId="583BE623" w14:textId="34F345CA" w:rsidR="00AB524E" w:rsidRPr="00221FC4" w:rsidRDefault="00221FC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La partecipante, g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uardando la homepage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,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non sa quale delle voci presenti possa essere quella giusta per il task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;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decide quindi di andare su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“S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ervizi agli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S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tudenti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”,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ma non trovando nulla che possa riferirsi al task da completare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torna 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alla 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home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e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ricerca nel sito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la parola chiave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“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opportunit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à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di lavoro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”;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compare quindi la voce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“S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trumenti per la ricerca attiva del lavoro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”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, ma ancora una volta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non trova ciò che stava cercando.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La partecipante, dopo altri tentativi fallimentari,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nota la voce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“O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rientamento al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L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avoro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”, raggiungendo l’obiettivo.</w:t>
                  </w:r>
                </w:p>
                <w:p w14:paraId="0CF8A68F" w14:textId="53BFDB6A" w:rsidR="00411343" w:rsidRDefault="00AB524E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</w:pPr>
                  <w:r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T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ask riuscito</w:t>
                  </w:r>
                </w:p>
                <w:p w14:paraId="02515E62" w14:textId="77777777" w:rsidR="00221FC4" w:rsidRPr="00221FC4" w:rsidRDefault="00221FC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</w:pPr>
                </w:p>
                <w:p w14:paraId="3A1A6742" w14:textId="72CA13C3" w:rsidR="007A1D36" w:rsidRPr="00644844" w:rsidRDefault="007A1D3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221FC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3 min 10 sec</w:t>
                  </w:r>
                </w:p>
              </w:tc>
            </w:tr>
            <w:tr w:rsidR="00644844" w14:paraId="3C626E7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8316C60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B176AA1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2734AC1D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7C5153BA" w14:textId="77777777" w:rsidR="007F6813" w:rsidRPr="00644844" w:rsidRDefault="00912BE4" w:rsidP="0064484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5705F803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TITOLO TASK</w:t>
      </w:r>
    </w:p>
    <w:p w14:paraId="1B08653B" w14:textId="77777777" w:rsidR="007F6813" w:rsidRPr="009808F7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p w14:paraId="2C204F9E" w14:textId="77777777" w:rsidR="00EB6FD0" w:rsidRPr="007F6813" w:rsidRDefault="00EB6FD0" w:rsidP="007F6813">
      <w:pPr>
        <w:widowControl w:val="0"/>
        <w:spacing w:before="200" w:line="240" w:lineRule="auto"/>
        <w:rPr>
          <w:b/>
          <w:bCs/>
        </w:rPr>
      </w:pPr>
    </w:p>
    <w:p w14:paraId="6E9B294D" w14:textId="77777777" w:rsidR="007F6813" w:rsidRPr="004257D9" w:rsidRDefault="004257D9" w:rsidP="007F6813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2F23AA8E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650F" w14:textId="77777777" w:rsidR="00226AB0" w:rsidRPr="009808F7" w:rsidRDefault="0040235A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Hai deciso di iscriverti all’università di Firenze, e il tuo obbiettivo è quello di partecipare </w:t>
            </w:r>
            <w:r w:rsidR="007F6813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all’Erasmus; quindi,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hai bisogno di sapere come funziona in questa università. Partendo dalla homepage cerca di trovare nel sito le informazioni sul programma Erasmus.</w:t>
            </w:r>
          </w:p>
          <w:p w14:paraId="120DD47B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79D38F8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64445AA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59F441C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A049A9F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4DACA54B" w14:textId="77777777" w:rsidR="00226AB0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A3775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>
                    <w:t xml:space="preserve"> </w:t>
                  </w:r>
                  <w:hyperlink r:id="rId12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734E1EC9" w14:textId="77777777" w:rsidR="00E87DF5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6FFFE7B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5D27917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67C6157" w14:textId="77777777" w:rsidR="00E87DF5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0CAF155C" w14:textId="77777777" w:rsidR="00E87DF5" w:rsidRPr="00342553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</w:t>
                  </w:r>
                  <w:r w:rsid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33D31A3A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44A1F890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</w:p>
                <w:p w14:paraId="14C98FD2" w14:textId="77777777" w:rsidR="00342553" w:rsidRDefault="00241545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3" w:anchor="erasmus_studio" w:history="1">
                    <w:r w:rsidR="00342553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139F2729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BAE0864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E84BC85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05410C24" w14:textId="77777777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2B7B820B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3C38A5FB" w14:textId="77777777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Scorrere </w:t>
                  </w:r>
                  <w:proofErr w:type="gram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pagine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e cliccare “Erasmus in partenza”;</w:t>
                  </w:r>
                </w:p>
              </w:tc>
            </w:tr>
          </w:tbl>
          <w:p w14:paraId="2D57D6DF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66099D58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DDB070D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6AA2F9F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79F1E5E9" w14:textId="735972DC" w:rsidR="004B30AD" w:rsidRDefault="0035287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La partecipante</w:t>
                  </w:r>
                  <w:r w:rsidR="004B30A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clicca su </w:t>
                  </w:r>
                  <w:r w:rsidR="00655748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Interna</w:t>
                  </w:r>
                  <w:r w:rsidR="009F4F2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ziona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lizzazione</w:t>
                  </w:r>
                  <w:r w:rsidR="00655748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4B30A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e subito trova la voce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655748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“E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r</w:t>
                  </w:r>
                  <w:r w:rsidR="00655748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as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mus e mobilità internazionale</w:t>
                  </w:r>
                  <w:r w:rsidR="00655748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”.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</w:p>
                <w:p w14:paraId="500E254A" w14:textId="06B8CE75" w:rsidR="007A1D36" w:rsidRDefault="008761B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Task riuscito</w:t>
                  </w:r>
                </w:p>
                <w:p w14:paraId="7AD504A4" w14:textId="77777777" w:rsidR="00655748" w:rsidRDefault="00655748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49B95549" w14:textId="59F003B8" w:rsidR="007A1D36" w:rsidRPr="004257D9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4B30AD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7263DA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16 sec</w:t>
                  </w:r>
                </w:p>
              </w:tc>
            </w:tr>
          </w:tbl>
          <w:p w14:paraId="19E63248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652DE7C" w14:textId="77777777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42DE6CE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5FFC49A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CA32758" w14:textId="77777777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4A294F55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2DD54D2B" w14:textId="77777777" w:rsidR="00A67DF0" w:rsidRPr="009808F7" w:rsidRDefault="00286735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p w14:paraId="6AFE2390" w14:textId="77777777" w:rsidR="00A67DF0" w:rsidRPr="00A67DF0" w:rsidRDefault="00A67DF0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0"/>
          <w:szCs w:val="20"/>
        </w:rPr>
      </w:pPr>
    </w:p>
    <w:p w14:paraId="32A74D50" w14:textId="77777777" w:rsidR="004257D9" w:rsidRPr="00EB6FD0" w:rsidRDefault="004257D9" w:rsidP="004257D9">
      <w:pPr>
        <w:widowControl w:val="0"/>
        <w:spacing w:before="200" w:line="240" w:lineRule="auto"/>
        <w:rPr>
          <w:i/>
          <w:iCs/>
        </w:rPr>
      </w:pPr>
      <w:r>
        <w:rPr>
          <w:i/>
          <w:iCs/>
        </w:rPr>
        <w:t>DESCRIZIONE TASK</w:t>
      </w:r>
    </w:p>
    <w:tbl>
      <w:tblPr>
        <w:tblStyle w:val="a7"/>
        <w:tblW w:w="91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72"/>
      </w:tblGrid>
      <w:tr w:rsidR="009F3035" w14:paraId="508D27C0" w14:textId="77777777" w:rsidTr="00C86F90">
        <w:tc>
          <w:tcPr>
            <w:tcW w:w="91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D598" w14:textId="77777777" w:rsidR="00A67DF0" w:rsidRPr="009808F7" w:rsidRDefault="00A67DF0" w:rsidP="00A67DF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 xml:space="preserve">Vuoi sapere più informazioni riguardante la presentazione della domanda di laurea. Partendo </w:t>
            </w: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lastRenderedPageBreak/>
              <w:t>dalla homepage cerca di trovare nel sito informazioni per la presentazione della domanda di laurea.</w:t>
            </w:r>
          </w:p>
          <w:p w14:paraId="600818C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1AAC3F0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4033B5B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2B9285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5A0EB55" w14:textId="77777777" w:rsidR="009F3035" w:rsidRDefault="009F3035" w:rsidP="00E87DF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4970EED3" w14:textId="77777777" w:rsidR="00E87DF5" w:rsidRDefault="00E87DF5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342553">
                    <w:t xml:space="preserve"> </w:t>
                  </w:r>
                  <w:hyperlink r:id="rId14" w:anchor="uno" w:history="1">
                    <w:r w:rsidR="00342553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0C86F16B" w14:textId="77777777" w:rsidR="00342553" w:rsidRDefault="00342553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2FE84467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C94F589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799C8BF7" w14:textId="77777777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05B28509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2CA658F4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04AF4257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“Tesi di laurea”;</w:t>
                  </w:r>
                </w:p>
                <w:p w14:paraId="5290B1D6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chi mi posso rivolgere per informazioni sulla 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</w:tc>
            </w:tr>
          </w:tbl>
          <w:p w14:paraId="5B08D904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630DB639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D7A48D0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7485603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0D189413" w14:textId="41FB53C0" w:rsidR="00C86F90" w:rsidRDefault="00E61FA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La partecipante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seleziona la voce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Iscrizioni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dopodiché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va su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“I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mmatricolazione e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scrizioni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“S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tudente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scritto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si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sposta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su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lla voce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“I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scrizion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a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d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anni 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uccessivi al primo e laureandi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</w:p>
                <w:p w14:paraId="00BA1AFE" w14:textId="3D5F6C9C" w:rsidR="008761B6" w:rsidRDefault="008761B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clicca su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“Mo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dalità di presentazione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de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lla domanda di iscrizione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si sposta infine su “I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nformazione per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tude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n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ti laureandi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”. A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questo punto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la partecipante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ha alcune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perples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ità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p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oi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ché si aspettava di trovare lì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il risultato desiderato; d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ecide quindi di tornare alla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home,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legge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le varie opzioni presenti sulla pagina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si reca nuovamente su</w:t>
                  </w:r>
                  <w:r w:rsidR="003D1A8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iscrizioni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1826C8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senza ottenere risultati. Dopo un po’ la partecipante si arrende, esprimendo l’esigenza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un menu apposito 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per informazioni sulle tesi.</w:t>
                  </w:r>
                </w:p>
                <w:p w14:paraId="2D4B6D74" w14:textId="2BAF44E0" w:rsidR="001826C8" w:rsidRDefault="001826C8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Task fallito.</w:t>
                  </w:r>
                </w:p>
                <w:p w14:paraId="0009C7C1" w14:textId="77777777" w:rsidR="001826C8" w:rsidRDefault="001826C8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7EAA3705" w14:textId="29766D06" w:rsidR="007A1D36" w:rsidRPr="004257D9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1826C8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3 min 4 sec</w:t>
                  </w:r>
                </w:p>
              </w:tc>
            </w:tr>
          </w:tbl>
          <w:p w14:paraId="20149462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23ADAC6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6E7B898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2A170D0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3671D459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7EC2CAE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A7ADA97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620A25A" w14:textId="77777777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0D014C30" w14:textId="77777777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</w:t>
      </w:r>
      <w:r w:rsidR="004257D9" w:rsidRPr="004257D9">
        <w:rPr>
          <w:rFonts w:ascii="Titillium Web" w:hAnsi="Titillium Web"/>
          <w:i/>
          <w:iCs/>
        </w:rPr>
        <w:t>ITOLO TASK</w:t>
      </w:r>
    </w:p>
    <w:p w14:paraId="05D479B9" w14:textId="77777777" w:rsidR="009F3035" w:rsidRPr="009808F7" w:rsidRDefault="00286735" w:rsidP="009F3035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p w14:paraId="434E6F18" w14:textId="77777777" w:rsidR="00A67DF0" w:rsidRPr="009808F7" w:rsidRDefault="00A67DF0" w:rsidP="009F3035">
      <w:pPr>
        <w:widowControl w:val="0"/>
        <w:spacing w:before="200" w:line="240" w:lineRule="auto"/>
        <w:rPr>
          <w:rFonts w:eastAsia="Titillium Web"/>
          <w:color w:val="999999"/>
          <w:sz w:val="20"/>
          <w:szCs w:val="20"/>
        </w:rPr>
      </w:pPr>
    </w:p>
    <w:p w14:paraId="3308D119" w14:textId="77777777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</w:t>
      </w:r>
      <w:r w:rsidR="004257D9" w:rsidRPr="004257D9">
        <w:rPr>
          <w:rFonts w:ascii="Titillium Web" w:hAnsi="Titillium Web"/>
          <w:i/>
          <w:iCs/>
        </w:rPr>
        <w:t>ESCRIZIONE TASK</w:t>
      </w:r>
    </w:p>
    <w:tbl>
      <w:tblPr>
        <w:tblStyle w:val="a7"/>
        <w:tblW w:w="90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1"/>
      </w:tblGrid>
      <w:tr w:rsidR="009F3035" w14:paraId="24CE011D" w14:textId="77777777" w:rsidTr="007857F2">
        <w:tc>
          <w:tcPr>
            <w:tcW w:w="90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7CB4" w14:textId="77777777" w:rsidR="009F3035" w:rsidRPr="009808F7" w:rsidRDefault="00A67DF0" w:rsidP="00373751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Sei uno studente con delle disabilità e hai bisogno di vedere quali sono i servizi offerti </w:t>
            </w:r>
            <w:r w:rsidR="009808F7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agli studenti con disabilità. Partendo dalla homepage cerca di trovare le informazioni dei servizi offerti agli studenti con disabilità.</w:t>
            </w:r>
          </w:p>
          <w:p w14:paraId="689EF050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B1B7C5D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4760EB2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01E9024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1F8C87E0" w14:textId="77777777" w:rsidR="009F3035" w:rsidRDefault="00CF179B" w:rsidP="00CF179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</w:p>
                <w:p w14:paraId="6D456B32" w14:textId="77777777" w:rsidR="00CF179B" w:rsidRDefault="00241545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5" w:history="1">
                    <w:r w:rsidR="00CF179B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1B2E60AA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D3F2B34" w14:textId="77777777" w:rsidR="00CF179B" w:rsidRPr="008761B6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5B6954BD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72E4B13F" w14:textId="77777777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4A70AEE1" w14:textId="77777777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FF1C447" w14:textId="77777777" w:rsidR="00CF179B" w:rsidRPr="00CF179B" w:rsidRDefault="00CF179B" w:rsidP="00CF179B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903D020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25450E4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77AFF891" w14:textId="77777777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</w:t>
                  </w:r>
                  <w:r w:rsidR="00644844">
                    <w:rPr>
                      <w:rFonts w:eastAsia="Calibri" w:cstheme="minorHAnsi"/>
                      <w:bCs/>
                      <w:sz w:val="24"/>
                      <w:szCs w:val="24"/>
                    </w:rPr>
                    <w:t>SERVIZI AGLI STUDENTI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34DFC64B" w14:textId="77777777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07C70025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85D3732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587ED7B9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5FAFD60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526A92E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734FC71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16C52D68" w14:textId="64E167D1" w:rsidR="007857F2" w:rsidRPr="00F92EE3" w:rsidRDefault="007857F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</w:pP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L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a partecipante</w:t>
                  </w: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aveva</w:t>
                  </w: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già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individuato</w:t>
                  </w: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la voce 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desiderata </w:t>
                  </w: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durante 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lo svolgimento</w:t>
                  </w: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dei task precedenti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,</w:t>
                  </w: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quindi clicca su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“S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ervizi agli student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i”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,</w:t>
                  </w: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poi 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su “S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tudenti con disabilita o 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DSA”</w:t>
                  </w:r>
                </w:p>
                <w:p w14:paraId="256BA4A8" w14:textId="77777777" w:rsidR="00644844" w:rsidRPr="00F92EE3" w:rsidRDefault="007857F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</w:pP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T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ask completato</w:t>
                  </w:r>
                </w:p>
                <w:p w14:paraId="2D988B83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502CE932" w14:textId="6BC941D8" w:rsidR="007A1D36" w:rsidRPr="008761B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  <w:u w:val="single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C87F8D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4 sec</w:t>
                  </w:r>
                </w:p>
              </w:tc>
            </w:tr>
          </w:tbl>
          <w:p w14:paraId="68D74063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E0D85A3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7CC785C" w14:textId="43CD0739" w:rsidR="008761B6" w:rsidRPr="001F2A24" w:rsidRDefault="008761B6">
      <w:pPr>
        <w:rPr>
          <w:rFonts w:ascii="Titillium Web" w:eastAsia="Titillium Web" w:hAnsi="Titillium Web" w:cs="Titillium Web"/>
          <w:b/>
          <w:color w:val="548DD4" w:themeColor="text2" w:themeTint="99"/>
          <w:sz w:val="28"/>
          <w:szCs w:val="28"/>
        </w:rPr>
      </w:pPr>
      <w:r w:rsidRPr="001F2A24">
        <w:rPr>
          <w:rFonts w:ascii="Titillium Web" w:eastAsia="Titillium Web" w:hAnsi="Titillium Web" w:cs="Titillium Web"/>
          <w:b/>
          <w:color w:val="548DD4" w:themeColor="text2" w:themeTint="99"/>
          <w:sz w:val="28"/>
          <w:szCs w:val="28"/>
        </w:rPr>
        <w:t xml:space="preserve">COMMENTO </w:t>
      </w:r>
      <w:r w:rsidR="00870B4B">
        <w:rPr>
          <w:rFonts w:ascii="Titillium Web" w:eastAsia="Titillium Web" w:hAnsi="Titillium Web" w:cs="Titillium Web"/>
          <w:b/>
          <w:color w:val="548DD4" w:themeColor="text2" w:themeTint="99"/>
          <w:sz w:val="28"/>
          <w:szCs w:val="28"/>
        </w:rPr>
        <w:t>UTENTE</w:t>
      </w:r>
    </w:p>
    <w:p w14:paraId="3A323977" w14:textId="53FF9953" w:rsidR="008761B6" w:rsidRPr="001F2A24" w:rsidRDefault="008761B6">
      <w:pPr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</w:pPr>
      <w:r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Alcune </w:t>
      </w:r>
      <w:r w:rsid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informazioni</w:t>
      </w:r>
      <w:r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 non sono chiare</w:t>
      </w:r>
      <w:r w:rsidR="00A66DF9"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. </w:t>
      </w:r>
      <w:r w:rsidR="00870B4B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La funzione di</w:t>
      </w:r>
      <w:r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 </w:t>
      </w:r>
      <w:r w:rsidR="00870B4B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ri</w:t>
      </w:r>
      <w:r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cerca </w:t>
      </w:r>
      <w:r w:rsidR="00A66DF9"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del sito non </w:t>
      </w:r>
      <w:r w:rsidR="00870B4B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funziona come ci si potrebbe aspettare. U</w:t>
      </w:r>
      <w:r w:rsidR="00A66DF9"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n aspetto </w:t>
      </w:r>
      <w:r w:rsidR="00870B4B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che la partecipante ha apprezzato </w:t>
      </w:r>
      <w:r w:rsidR="00A66DF9"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è l’estetica del sito.</w:t>
      </w:r>
    </w:p>
    <w:p w14:paraId="33D34E1E" w14:textId="77777777" w:rsidR="00A66DF9" w:rsidRDefault="00A66DF9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4C689E1A" w14:textId="77777777" w:rsidR="008761B6" w:rsidRDefault="008761B6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t>VALUTAZIONE: 6.5/10</w:t>
      </w:r>
    </w:p>
    <w:p w14:paraId="6486370A" w14:textId="77777777" w:rsidR="008761B6" w:rsidRDefault="008761B6">
      <w:pPr>
        <w:rPr>
          <w:rFonts w:ascii="Titillium Web" w:eastAsia="Titillium Web" w:hAnsi="Titillium Web" w:cs="Titillium Web"/>
          <w:b/>
          <w:color w:val="666666"/>
          <w:sz w:val="28"/>
          <w:szCs w:val="28"/>
          <w:u w:val="single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t>NPS: 6/10</w:t>
      </w:r>
    </w:p>
    <w:p w14:paraId="0BFA748B" w14:textId="19D4B77B" w:rsidR="008761B6" w:rsidRPr="002272BE" w:rsidRDefault="008761B6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  <w:u w:val="single"/>
        </w:rPr>
        <w:t xml:space="preserve">TOT TEMPO </w:t>
      </w:r>
      <w:proofErr w:type="gramStart"/>
      <w:r>
        <w:rPr>
          <w:rFonts w:ascii="Titillium Web" w:eastAsia="Titillium Web" w:hAnsi="Titillium Web" w:cs="Titillium Web"/>
          <w:b/>
          <w:color w:val="666666"/>
          <w:sz w:val="28"/>
          <w:szCs w:val="28"/>
          <w:u w:val="single"/>
        </w:rPr>
        <w:t xml:space="preserve">IMPIEGATO </w:t>
      </w:r>
      <w:r w:rsidR="002272BE">
        <w:rPr>
          <w:rFonts w:ascii="Titillium Web" w:eastAsia="Titillium Web" w:hAnsi="Titillium Web" w:cs="Titillium Web"/>
          <w:b/>
          <w:color w:val="666666"/>
          <w:sz w:val="28"/>
          <w:szCs w:val="28"/>
          <w:u w:val="single"/>
        </w:rPr>
        <w:t>:</w:t>
      </w:r>
      <w:proofErr w:type="gramEnd"/>
      <w:r w:rsidR="002272BE">
        <w:rPr>
          <w:rFonts w:ascii="Titillium Web" w:eastAsia="Titillium Web" w:hAnsi="Titillium Web" w:cs="Titillium Web"/>
          <w:b/>
          <w:color w:val="666666"/>
          <w:sz w:val="28"/>
          <w:szCs w:val="28"/>
          <w:u w:val="single"/>
        </w:rPr>
        <w:t xml:space="preserve"> </w:t>
      </w:r>
      <w:r w:rsidR="00614F2E">
        <w:rPr>
          <w:rFonts w:ascii="Titillium Web" w:eastAsia="Titillium Web" w:hAnsi="Titillium Web" w:cs="Titillium Web"/>
          <w:b/>
          <w:color w:val="666666"/>
          <w:sz w:val="28"/>
          <w:szCs w:val="28"/>
          <w:u w:val="single"/>
        </w:rPr>
        <w:t>9 min 51 sec</w:t>
      </w:r>
    </w:p>
    <w:sectPr w:rsidR="008761B6" w:rsidRPr="002272BE" w:rsidSect="008C6A12"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93163" w14:textId="77777777" w:rsidR="00241545" w:rsidRDefault="00241545">
      <w:pPr>
        <w:spacing w:line="240" w:lineRule="auto"/>
      </w:pPr>
      <w:r>
        <w:separator/>
      </w:r>
    </w:p>
  </w:endnote>
  <w:endnote w:type="continuationSeparator" w:id="0">
    <w:p w14:paraId="02E82B54" w14:textId="77777777" w:rsidR="00241545" w:rsidRDefault="002415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0B677" w14:textId="77777777" w:rsidR="00226AB0" w:rsidRDefault="00241545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8240" behindDoc="1" locked="0" layoutInCell="1" allowOverlap="1" wp14:anchorId="74629451" wp14:editId="04E0D92C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B4EAD1" w14:textId="77777777" w:rsidR="00226AB0" w:rsidRDefault="00226A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FF5E2" w14:textId="77777777" w:rsidR="00226AB0" w:rsidRDefault="00241545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9264" behindDoc="1" locked="0" layoutInCell="1" allowOverlap="1" wp14:anchorId="40F81645" wp14:editId="087B3222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28C886" w14:textId="77777777" w:rsidR="00226AB0" w:rsidRDefault="00226A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F6E1F" w14:textId="77777777" w:rsidR="00241545" w:rsidRDefault="00241545">
      <w:pPr>
        <w:spacing w:line="240" w:lineRule="auto"/>
      </w:pPr>
      <w:r>
        <w:separator/>
      </w:r>
    </w:p>
  </w:footnote>
  <w:footnote w:type="continuationSeparator" w:id="0">
    <w:p w14:paraId="25B92350" w14:textId="77777777" w:rsidR="00241545" w:rsidRDefault="002415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01099" w14:textId="77777777" w:rsidR="00226AB0" w:rsidRDefault="00226A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337609">
    <w:abstractNumId w:val="0"/>
  </w:num>
  <w:num w:numId="2" w16cid:durableId="56903242">
    <w:abstractNumId w:val="1"/>
  </w:num>
  <w:num w:numId="3" w16cid:durableId="1433940202">
    <w:abstractNumId w:val="4"/>
  </w:num>
  <w:num w:numId="4" w16cid:durableId="250551308">
    <w:abstractNumId w:val="5"/>
  </w:num>
  <w:num w:numId="5" w16cid:durableId="1178929723">
    <w:abstractNumId w:val="2"/>
  </w:num>
  <w:num w:numId="6" w16cid:durableId="350497619">
    <w:abstractNumId w:val="3"/>
  </w:num>
  <w:num w:numId="7" w16cid:durableId="14685436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AB0"/>
    <w:rsid w:val="001144C9"/>
    <w:rsid w:val="001826C8"/>
    <w:rsid w:val="001F2A24"/>
    <w:rsid w:val="002053B8"/>
    <w:rsid w:val="002207F5"/>
    <w:rsid w:val="00221FC4"/>
    <w:rsid w:val="00226AB0"/>
    <w:rsid w:val="002272BE"/>
    <w:rsid w:val="00241545"/>
    <w:rsid w:val="00286735"/>
    <w:rsid w:val="002E6AAB"/>
    <w:rsid w:val="00342553"/>
    <w:rsid w:val="00352870"/>
    <w:rsid w:val="003D1A86"/>
    <w:rsid w:val="0040235A"/>
    <w:rsid w:val="00411343"/>
    <w:rsid w:val="00423E76"/>
    <w:rsid w:val="004257D9"/>
    <w:rsid w:val="004B30AD"/>
    <w:rsid w:val="00614F2E"/>
    <w:rsid w:val="00644844"/>
    <w:rsid w:val="0064577E"/>
    <w:rsid w:val="00655748"/>
    <w:rsid w:val="00712606"/>
    <w:rsid w:val="007263DA"/>
    <w:rsid w:val="0075784D"/>
    <w:rsid w:val="007857F2"/>
    <w:rsid w:val="007A1D36"/>
    <w:rsid w:val="007A3568"/>
    <w:rsid w:val="007E6BAE"/>
    <w:rsid w:val="007F6813"/>
    <w:rsid w:val="00851093"/>
    <w:rsid w:val="00870B4B"/>
    <w:rsid w:val="008761B6"/>
    <w:rsid w:val="008C208F"/>
    <w:rsid w:val="008C6A12"/>
    <w:rsid w:val="00902FAF"/>
    <w:rsid w:val="0090655D"/>
    <w:rsid w:val="00912BE4"/>
    <w:rsid w:val="009808F7"/>
    <w:rsid w:val="0099443F"/>
    <w:rsid w:val="009B1143"/>
    <w:rsid w:val="009F3035"/>
    <w:rsid w:val="009F4F2F"/>
    <w:rsid w:val="00A3775D"/>
    <w:rsid w:val="00A66DF9"/>
    <w:rsid w:val="00A67DF0"/>
    <w:rsid w:val="00A77133"/>
    <w:rsid w:val="00A9334B"/>
    <w:rsid w:val="00AB524E"/>
    <w:rsid w:val="00B507E7"/>
    <w:rsid w:val="00BB7B93"/>
    <w:rsid w:val="00BF1A7A"/>
    <w:rsid w:val="00C86F90"/>
    <w:rsid w:val="00C87F8D"/>
    <w:rsid w:val="00CF179B"/>
    <w:rsid w:val="00E433A4"/>
    <w:rsid w:val="00E61FA5"/>
    <w:rsid w:val="00E87DF5"/>
    <w:rsid w:val="00EA48E0"/>
    <w:rsid w:val="00EB6FD0"/>
    <w:rsid w:val="00F1401D"/>
    <w:rsid w:val="00F265B4"/>
    <w:rsid w:val="00F33922"/>
    <w:rsid w:val="00F92EE3"/>
    <w:rsid w:val="00F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7253"/>
  <w15:docId w15:val="{1E39F5CF-177F-43FA-AB7E-6F07C00C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6A12"/>
  </w:style>
  <w:style w:type="paragraph" w:styleId="Titolo1">
    <w:name w:val="heading 1"/>
    <w:basedOn w:val="Normale"/>
    <w:next w:val="Normale"/>
    <w:uiPriority w:val="9"/>
    <w:qFormat/>
    <w:rsid w:val="008C6A1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rsid w:val="008C6A1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rsid w:val="008C6A1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rsid w:val="008C6A1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rsid w:val="008C6A12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rsid w:val="008C6A1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8C6A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rsid w:val="008C6A12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rsid w:val="008C6A1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113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11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cmpro-v-p-10034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7464-erasmus-e-mobilita-internazionale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vp-11161-orientamento-al-lavoro-placem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vp-379-studenti-con-disabilita-o-dsa.html" TargetMode="External"/><Relationship Id="rId10" Type="http://schemas.openxmlformats.org/officeDocument/2006/relationships/hyperlink" Target="https://www.unifi.it/p11627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fi.it/p7470.html" TargetMode="External"/><Relationship Id="rId14" Type="http://schemas.openxmlformats.org/officeDocument/2006/relationships/hyperlink" Target="https://www.unifi.it/cmpro-v-p-9472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Giuseppe Volpe</cp:lastModifiedBy>
  <cp:revision>23</cp:revision>
  <dcterms:created xsi:type="dcterms:W3CDTF">2022-05-25T16:38:00Z</dcterms:created>
  <dcterms:modified xsi:type="dcterms:W3CDTF">2022-06-06T11:32:00Z</dcterms:modified>
</cp:coreProperties>
</file>