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AD" w:rsidRPr="00B31857" w:rsidRDefault="00B31857">
      <w:pPr>
        <w:rPr>
          <w:b/>
          <w:sz w:val="26"/>
          <w:szCs w:val="26"/>
        </w:rPr>
      </w:pPr>
      <w:r w:rsidRPr="00B31857">
        <w:rPr>
          <w:b/>
          <w:sz w:val="26"/>
          <w:szCs w:val="26"/>
        </w:rPr>
        <w:t>Progetto HiddenSounds.java – Clerici Giulia</w:t>
      </w:r>
    </w:p>
    <w:p w:rsidR="00B31857" w:rsidRPr="00B31857" w:rsidRDefault="00B31857">
      <w:pPr>
        <w:rPr>
          <w:sz w:val="24"/>
          <w:szCs w:val="24"/>
        </w:rPr>
      </w:pPr>
      <w:r>
        <w:rPr>
          <w:sz w:val="24"/>
          <w:szCs w:val="24"/>
        </w:rPr>
        <w:t xml:space="preserve">Il progetto, denominato HiddenSounds.java, prevede un’interfaccia grafica monocolore. Digitando i tasti della tastiera, sull’interfaccia apparirà un quadrato (pannello con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Layout) colorato, i cui valori RGB sono determinati casualmente, e verrà emesso un suono. I valori RGB che identificano il colore del quadrato vanno anche ad influenzare il suono emesso. La somma dei valori R, G, e B della codifica RGB va a determinare il timbro. Inoltre la codifica RGB viene convertita nella codifica HSB, il cui valore H andrà a determinare la frequenza del suono, il valore S la durata e il valore B l’ampiezza. Particolarità: qualora l’utente digiti la stringa “</w:t>
      </w:r>
      <w:proofErr w:type="spellStart"/>
      <w:r>
        <w:rPr>
          <w:sz w:val="24"/>
          <w:szCs w:val="24"/>
        </w:rPr>
        <w:t>twinpeaks</w:t>
      </w:r>
      <w:proofErr w:type="spellEnd"/>
      <w:r>
        <w:rPr>
          <w:sz w:val="24"/>
          <w:szCs w:val="24"/>
        </w:rPr>
        <w:t xml:space="preserve">” il programma emetterà il campione audio del brano “Twin </w:t>
      </w:r>
      <w:proofErr w:type="spellStart"/>
      <w:r>
        <w:rPr>
          <w:sz w:val="24"/>
          <w:szCs w:val="24"/>
        </w:rPr>
        <w:t>Peaks</w:t>
      </w:r>
      <w:proofErr w:type="spellEnd"/>
      <w:r>
        <w:rPr>
          <w:sz w:val="24"/>
          <w:szCs w:val="24"/>
        </w:rPr>
        <w:t xml:space="preserve"> Theme</w:t>
      </w:r>
      <w:bookmarkStart w:id="0" w:name="_GoBack"/>
      <w:bookmarkEnd w:id="0"/>
      <w:r>
        <w:rPr>
          <w:sz w:val="24"/>
          <w:szCs w:val="24"/>
        </w:rPr>
        <w:t xml:space="preserve">” di Angelo Badalamenti.  </w:t>
      </w:r>
    </w:p>
    <w:sectPr w:rsidR="00B31857" w:rsidRPr="00B31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57"/>
    <w:rsid w:val="003422FE"/>
    <w:rsid w:val="00435DAD"/>
    <w:rsid w:val="00B31857"/>
    <w:rsid w:val="00D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8E91"/>
  <w15:chartTrackingRefBased/>
  <w15:docId w15:val="{261D7C23-4562-4355-904D-E80483F1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Clerici</dc:creator>
  <cp:keywords/>
  <dc:description/>
  <cp:lastModifiedBy>Giulia Clerici</cp:lastModifiedBy>
  <cp:revision>1</cp:revision>
  <dcterms:created xsi:type="dcterms:W3CDTF">2018-01-16T15:42:00Z</dcterms:created>
  <dcterms:modified xsi:type="dcterms:W3CDTF">2018-01-16T16:17:00Z</dcterms:modified>
</cp:coreProperties>
</file>