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Uso</w:t>
      </w:r>
      <w:r>
        <w:t xml:space="preserve"> </w:t>
      </w:r>
      <w:r>
        <w:t xml:space="preserve">de</w:t>
      </w:r>
      <w:r>
        <w:t xml:space="preserve"> </w:t>
      </w:r>
      <w:r>
        <w:t xml:space="preserve">Habitat</w:t>
      </w:r>
      <w:r>
        <w:t xml:space="preserve"> </w:t>
      </w:r>
      <w:r>
        <w:t xml:space="preserve">de</w:t>
      </w:r>
      <w:r>
        <w:t xml:space="preserve"> </w:t>
      </w:r>
      <w:r>
        <w:t xml:space="preserve">Tubarões</w:t>
      </w:r>
      <w:r>
        <w:t xml:space="preserve"> </w:t>
      </w:r>
      <w:r>
        <w:t xml:space="preserve">Azul</w:t>
      </w:r>
      <w:r>
        <w:t xml:space="preserve"> </w:t>
      </w:r>
      <w:r>
        <w:t xml:space="preserve">e</w:t>
      </w:r>
      <w:r>
        <w:t xml:space="preserve"> </w:t>
      </w:r>
      <w:r>
        <w:t xml:space="preserve">Anequim</w:t>
      </w:r>
      <w:r>
        <w:t xml:space="preserve"> </w:t>
      </w:r>
      <w:r>
        <w:t xml:space="preserve">no</w:t>
      </w:r>
      <w:r>
        <w:t xml:space="preserve"> </w:t>
      </w:r>
      <w:r>
        <w:t xml:space="preserve">Oceano</w:t>
      </w:r>
      <w:r>
        <w:t xml:space="preserve"> </w:t>
      </w:r>
      <w:r>
        <w:t xml:space="preserve">Atlântico</w:t>
      </w:r>
      <w:r>
        <w:t xml:space="preserve"> </w:t>
      </w:r>
      <w:r>
        <w:t xml:space="preserve">Sul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Este estudo analisa o uso de habitat, a sobreposição de nicho e a conectividade do tubarão azul (</w:t>
      </w:r>
      <w:r>
        <w:rPr>
          <w:i/>
          <w:iCs/>
        </w:rPr>
        <w:t xml:space="preserve">Prionace glauca</w:t>
      </w:r>
      <w:r>
        <w:t xml:space="preserve">) e do anequim (</w:t>
      </w:r>
      <w:r>
        <w:rPr>
          <w:i/>
          <w:iCs/>
        </w:rPr>
        <w:t xml:space="preserve">Isurus oxyrinchus</w:t>
      </w:r>
      <w:r>
        <w:t xml:space="preserve">) no Atlântico Sul. Utilizando análises isotópicas e microquímicas em vértebras, investigamos mudanças ontogenéticas no uso de habitat e comportamentos alimentares dessas espécies. Os objetivos incluem avaliar a sobreposição de nicho, identificar especializações tróficas e verificar a conectividade do tubarão azul entre regiões do Atlântico Sul. Esperamos demonstrar uma sobreposição de nicho entre as espécies e evidências de conectividade transoceânica para o tubarão azul, fornecendo dados essenciais para manejo ecossistêmico e conservação.</w:t>
      </w:r>
    </w:p>
    <w:p>
      <w:pPr>
        <w:pStyle w:val="BodyText"/>
      </w:pPr>
      <w:r>
        <w:t xml:space="preserve">keywords:</w:t>
      </w:r>
      <w:r>
        <w:t xml:space="preserve"> </w:t>
      </w:r>
      <w:r>
        <w:t xml:space="preserve">- Conectividade</w:t>
      </w:r>
      <w:r>
        <w:t xml:space="preserve"> </w:t>
      </w:r>
      <w:r>
        <w:t xml:space="preserve">- Sobreposição de nicho</w:t>
      </w:r>
      <w:r>
        <w:t xml:space="preserve"> </w:t>
      </w:r>
      <w:r>
        <w:t xml:space="preserve">- Tubarão azul</w:t>
      </w:r>
      <w:r>
        <w:t xml:space="preserve"> </w:t>
      </w:r>
      <w:r>
        <w:t xml:space="preserve">- Atlântico Sul</w:t>
      </w:r>
      <w:r>
        <w:t xml:space="preserve"> </w:t>
      </w:r>
      <w:r>
        <w:t xml:space="preserve">- Análise isotópica</w:t>
      </w:r>
      <w:r>
        <w:t xml:space="preserve"> </w:t>
      </w:r>
      <w:r>
        <w:t xml:space="preserve">- Ecologia trófica</w:t>
      </w:r>
      <w:r>
        <w:t xml:space="preserve"> </w:t>
      </w:r>
      <w:r>
        <w:t xml:space="preserve">- Migração transoceânica</w:t>
      </w:r>
      <w:r>
        <w:t xml:space="preserve"> </w:t>
      </w:r>
      <w:r>
        <w:t xml:space="preserve">- Gestão ecossistêmica</w:t>
      </w:r>
    </w:p>
    <w:p>
      <w:pPr>
        <w:pStyle w:val="BodyText"/>
      </w:pPr>
      <w:r>
        <w:t xml:space="preserve">output: rticles::frontiers_article</w:t>
      </w:r>
      <w:r>
        <w:t xml:space="preserve"> </w:t>
      </w:r>
      <w:r>
        <w:t xml:space="preserve">bibliography: test.bib</w:t>
      </w:r>
      <w:r>
        <w:t xml:space="preserve"> </w:t>
      </w:r>
      <w:r>
        <w:t xml:space="preserve">biblio-style: Frontiers-Harvard</w:t>
      </w:r>
      <w:r>
        <w:t xml:space="preserve"> </w:t>
      </w:r>
      <w:r>
        <w:t xml:space="preserve">—</w:t>
      </w:r>
    </w:p>
    <w:bookmarkEnd w:id="20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 tubarão azul (</w:t>
      </w:r>
      <w:r>
        <w:rPr>
          <w:i/>
          <w:iCs/>
        </w:rPr>
        <w:t xml:space="preserve">Prionace glauca</w:t>
      </w:r>
      <w:r>
        <w:t xml:space="preserve">) e o anequim (</w:t>
      </w:r>
      <w:r>
        <w:rPr>
          <w:i/>
          <w:iCs/>
        </w:rPr>
        <w:t xml:space="preserve">Isurus oxyrinchus</w:t>
      </w:r>
      <w:r>
        <w:t xml:space="preserve">) são duas das principais espécies de tubarões pelágicos do Atlântico, com distribuições amplas e migratórias que as tornam vulneráveis à exploração pesqueira</w:t>
      </w:r>
      <w:r>
        <w:t xml:space="preserve"> </w:t>
      </w:r>
      <w:r>
        <w:t xml:space="preserve">[@Campana2004; @Stevens2010]</w:t>
      </w:r>
      <w:r>
        <w:t xml:space="preserve">. Essas espécies desempenham papéis ecológicos fundamentais nos ecossistemas marinhos, regulando as populações de suas presas e contribuindo para a manutenção do equilíbrio ecológico</w:t>
      </w:r>
      <w:r>
        <w:t xml:space="preserve"> </w:t>
      </w:r>
      <w:r>
        <w:t xml:space="preserve">[@Heithaus2008]</w:t>
      </w:r>
      <w:r>
        <w:t xml:space="preserve">. Estudos recentes destacam a importância de compreender a conectividade populacional desses tubarões para desenvolver estratégias de manejo que considerem sua natureza transoceânica e evitem o declínio populacional</w:t>
      </w:r>
      <w:r>
        <w:t xml:space="preserve"> </w:t>
      </w:r>
      <w:r>
        <w:t xml:space="preserve">[@Queiroz2019; @Ferreira2017]</w:t>
      </w:r>
      <w:r>
        <w:t xml:space="preserve">.</w:t>
      </w:r>
    </w:p>
    <w:p>
      <w:pPr>
        <w:pStyle w:val="BodyText"/>
      </w:pPr>
      <w:r>
        <w:t xml:space="preserve">O uso de análises isotópicas e microquímicas em vértebras de tubarões tem se mostrado uma ferramenta valiosa para rastrear padrões de migração, conectividade e mudanças ontogenéticas em hábitos alimentares</w:t>
      </w:r>
      <w:r>
        <w:t xml:space="preserve"> </w:t>
      </w:r>
      <w:r>
        <w:t xml:space="preserve">[@Estrada2006; @Hussey2015]</w:t>
      </w:r>
      <w:r>
        <w:t xml:space="preserve">. Através dessas análises, é possível identificar as áreas de alimentação e os movimentos sazonais das espécies, fornecendo insights sobre as dinâmicas de habitat e as interações tróficas ao longo de diferentes fases da vida dos tubarões</w:t>
      </w:r>
      <w:r>
        <w:t xml:space="preserve"> </w:t>
      </w:r>
      <w:r>
        <w:t xml:space="preserve">[@Carlisle2015; @MacNeil2005]</w:t>
      </w:r>
      <w:r>
        <w:t xml:space="preserve">.</w:t>
      </w:r>
    </w:p>
    <w:bookmarkStart w:id="21" w:name="fórmula-para-posição-trófica"/>
    <w:p>
      <w:pPr>
        <w:pStyle w:val="Heading3"/>
      </w:pPr>
      <w:r>
        <w:t xml:space="preserve">Fórmula para Posição Trófica</w:t>
      </w:r>
    </w:p>
    <w:p>
      <w:pPr>
        <w:pStyle w:val="FirstParagraph"/>
      </w:pPr>
      <w:r>
        <w:t xml:space="preserve">Para estimar a posição trófica dos tubarões analisados, foi utilizada a seguinte fórmula de enriquecimento isotópico de nitrogênio entre predador e presa: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Δ</m:t>
              </m:r>
            </m:e>
            <m:sup>
              <m:r>
                <m:t>15</m:t>
              </m:r>
            </m:sup>
          </m:sSup>
          <m:r>
            <m:t>N</m:t>
          </m:r>
          <m:r>
            <m:rPr>
              <m:sty m:val="p"/>
            </m:rPr>
            <m:t>=</m:t>
          </m:r>
          <m:sSup>
            <m:e>
              <m:r>
                <m:t>δ</m:t>
              </m:r>
            </m:e>
            <m:sup>
              <m:r>
                <m:t>15</m:t>
              </m:r>
            </m:sup>
          </m:sSup>
          <m:sSub>
            <m:e>
              <m:r>
                <m:t>N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d</m:t>
              </m:r>
              <m:r>
                <m:t>a</m:t>
              </m:r>
              <m:r>
                <m:t>d</m:t>
              </m:r>
              <m:r>
                <m:t>o</m:t>
              </m:r>
              <m:r>
                <m:t>r</m:t>
              </m:r>
            </m:sub>
          </m:sSub>
          <m:r>
            <m:rPr>
              <m:sty m:val="p"/>
            </m:rPr>
            <m:t>−</m:t>
          </m:r>
          <m:sSup>
            <m:e>
              <m:r>
                <m:t>δ</m:t>
              </m:r>
            </m:e>
            <m:sup>
              <m:r>
                <m:t>15</m:t>
              </m:r>
            </m:sup>
          </m:sSup>
          <m:sSub>
            <m:e>
              <m:r>
                <m:t>N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a</m:t>
              </m:r>
            </m:sub>
          </m:sSub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sSup>
          <m:e>
            <m:r>
              <m:t>δ</m:t>
            </m:r>
          </m:e>
          <m:sup>
            <m:r>
              <m:t>15</m:t>
            </m:r>
          </m:sup>
        </m:sSup>
        <m:r>
          <m:t>N</m:t>
        </m:r>
      </m:oMath>
      <w:r>
        <w:t xml:space="preserve"> </w:t>
      </w:r>
      <w:r>
        <w:t xml:space="preserve">representa o valor isotópico de nitrogênio nas amostras de vértebras, possibilitando inferir a posição trófica e os hábitos alimentares ontogenéticos dos indivíduos</w:t>
      </w:r>
      <w:r>
        <w:t xml:space="preserve"> </w:t>
      </w:r>
      <w:r>
        <w:t xml:space="preserve">[@Shiffman2019; @Rooker2008]</w:t>
      </w:r>
      <w:r>
        <w:t xml:space="preserve">.</w:t>
      </w:r>
    </w:p>
    <w:p>
      <w:pPr>
        <w:pStyle w:val="BodyText"/>
      </w:pPr>
      <w:r>
        <w:t xml:space="preserve">Estudos como o de</w:t>
      </w:r>
      <w:r>
        <w:t xml:space="preserve"> </w:t>
      </w:r>
      <w:r>
        <w:t xml:space="preserve">@Queiroz2019</w:t>
      </w:r>
      <w:r>
        <w:t xml:space="preserve"> </w:t>
      </w:r>
      <w:r>
        <w:t xml:space="preserve">demonstram que o tubarão azul exibe conectividade entre regiões do Atlântico, reforçando a necessidade de uma abordagem de manejo cooperativa entre diferentes países. Este estudo visa investigar a sobreposição de nicho entre o tubarão azul e o anequim no Atlântico Sul e avaliar a conectividade do tubarão azul entre as regiões sudoeste e sudeste do oceano.</w:t>
      </w:r>
    </w:p>
    <w:bookmarkEnd w:id="21"/>
    <w:bookmarkEnd w:id="22"/>
    <w:bookmarkStart w:id="27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Espera-se que os resultados deste estudo revelem uma sobreposição significativa de nicho entre o tubarão azul (</w:t>
      </w:r>
      <w:r>
        <w:rPr>
          <w:i/>
          <w:iCs/>
        </w:rPr>
        <w:t xml:space="preserve">Prionace glauca</w:t>
      </w:r>
      <w:r>
        <w:t xml:space="preserve">) e o anequim (</w:t>
      </w:r>
      <w:r>
        <w:rPr>
          <w:i/>
          <w:iCs/>
        </w:rPr>
        <w:t xml:space="preserve">Isurus oxyrinchus</w:t>
      </w:r>
      <w:r>
        <w:t xml:space="preserve">) no Atlântico Sul. A análise isotópica deverá indicar variações na posição trófica entre as fases ontogenéticas dos tubarões, evidenciando especializações alimentares em diferentes estágios de vida</w:t>
      </w:r>
      <w:r>
        <w:t xml:space="preserve"> </w:t>
      </w:r>
      <w:r>
        <w:t xml:space="preserve">[@Carlisle2015; @Estrada2006]</w:t>
      </w:r>
      <w:r>
        <w:t xml:space="preserve">.</w:t>
      </w:r>
    </w:p>
    <w:bookmarkStart w:id="26" w:name="sugestão-de-imagem"/>
    <w:p>
      <w:pPr>
        <w:pStyle w:val="Heading3"/>
      </w:pPr>
      <w:r>
        <w:t xml:space="preserve">Sugestão de Imagem</w:t>
      </w:r>
    </w:p>
    <w:p>
      <w:pPr>
        <w:pStyle w:val="FirstParagraph"/>
      </w:pPr>
      <w:r>
        <w:t xml:space="preserve">Um</w:t>
      </w:r>
      <w:r>
        <w:t xml:space="preserve"> </w:t>
      </w:r>
      <w:r>
        <w:rPr>
          <w:b/>
          <w:bCs/>
        </w:rPr>
        <w:t xml:space="preserve">mapa do Atlântico Sul</w:t>
      </w:r>
      <w:r>
        <w:t xml:space="preserve"> </w:t>
      </w:r>
      <w:r>
        <w:t xml:space="preserve">com as rotas de migração estimadas dos tubarões azul e anequim, destacando os pontos de coleta das amostras de vértebras, é uma adição importante. Esse mapa visualizaria as conexões entre as regiões sudoeste e sudeste do Atlântico e outras áreas relevantes, demonstrando visualmente a distribuição e possíveis rotas migratórias das duas espécies.</w:t>
      </w:r>
    </w:p>
    <w:p>
      <w:pPr>
        <w:pStyle w:val="SourceCode"/>
      </w:pPr>
      <w:r>
        <w:rPr>
          <w:rStyle w:val="CommentTok"/>
        </w:rPr>
        <w:t xml:space="preserve"># Simulação de dados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Classes etárias de 1 a 20 anos</w:t>
      </w:r>
      <w:r>
        <w:br/>
      </w:r>
      <w:r>
        <w:rPr>
          <w:rStyle w:val="NormalTok"/>
        </w:rPr>
        <w:t xml:space="preserve">trop_shark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idades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(idades),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Posição trófica simulada do tubarão azul</w:t>
      </w:r>
      <w:r>
        <w:br/>
      </w:r>
      <w:r>
        <w:rPr>
          <w:rStyle w:val="NormalTok"/>
        </w:rPr>
        <w:t xml:space="preserve">trop_mako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idades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(idades),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Posição trófica simulada do anequim</w:t>
      </w:r>
      <w:r>
        <w:br/>
      </w:r>
      <w:r>
        <w:br/>
      </w:r>
      <w:r>
        <w:rPr>
          <w:rStyle w:val="CommentTok"/>
        </w:rPr>
        <w:t xml:space="preserve"># Plotando o gráfico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(idades, trop_shark,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"Posição Trófica por Idade para Tubarões Azul e Anequim"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 (anos)"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"Posição Trófica"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(idades, trop_mako,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"Tubarão Azul"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"Anequim"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rontiers_files/figure-docx/trophic_graph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Uso de Habitat de Tubarões Azul e Anequim no Oceano Atlântico Sul</dc:title>
  <dc:creator/>
  <cp:keywords/>
  <dcterms:created xsi:type="dcterms:W3CDTF">2024-11-05T16:15:35Z</dcterms:created>
  <dcterms:modified xsi:type="dcterms:W3CDTF">2024-11-05T16:15:35Z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classoption">
    <vt:lpwstr>utf8</vt:lpwstr>
  </property>
  <property fmtid="{D5CDD505-2E9C-101B-9397-08002B2CF9AE}" pid="4" name="documentclass">
    <vt:lpwstr>FrontiersinHarvard</vt:lpwstr>
  </property>
  <property fmtid="{D5CDD505-2E9C-101B-9397-08002B2CF9AE}" pid="5" name="output">
    <vt:lpwstr>word_document</vt:lpwstr>
  </property>
  <property fmtid="{D5CDD505-2E9C-101B-9397-08002B2CF9AE}" pid="6" name="runtitle">
    <vt:lpwstr>Habitat de Tubarões no Atlântico Sul</vt:lpwstr>
  </property>
</Properties>
</file>