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BCI Lab Report 6</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w:t>
      </w:r>
      <w:r w:rsidDel="00000000" w:rsidR="00000000" w:rsidRPr="00000000">
        <w:rPr>
          <w:rFonts w:ascii="Times New Roman" w:cs="Times New Roman" w:eastAsia="Times New Roman" w:hAnsi="Times New Roman"/>
          <w:rtl w:val="0"/>
        </w:rPr>
        <w:t xml:space="preserve"> Create a tone at 40Hz and listen to it.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hear it?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able to hear this pretty clearly. It sounded like a low tone.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about a tone at 900Hz?</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could hear this but it was fainter and higher pitched.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your answer, explain in your report why we need to have carrier (900Hz) and modulator (40Hz) tones.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my reading we use a carrier in real life in order to efficiently propagate through a medium like air or radios. This is pushing the signal to a higher frequency in order for it to be easier to decode upon its arrival.[1]</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modulator tone is encoded within the carrier. This is helpful because it's actually within the auditory range and the brain actually can synchronize with some stimuli around this frequency range.[1]</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these two frequencies creates beats as the sine waves counteract or sum with each other.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actual combined AM signal will show the carrier’s amplitude oscillating at the modulator's frequency. [1]</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the carrier also makes the 40 Hz tone easier to perceive due the carrier bringing it to a more audible frequency.</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 plot of the first 100ms of each sound generated in 2e (carrier, modulator, AM signal). (7 pts)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30650" cy="332016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0650" cy="332016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Include a plot of the first 100ms of each sound (carrier, modulator, AM signal). (3 pts)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42658" cy="328753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42658" cy="328753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hyperlink r:id="rId8">
        <w:r w:rsidDel="00000000" w:rsidR="00000000" w:rsidRPr="00000000">
          <w:rPr>
            <w:rFonts w:ascii="Times New Roman" w:cs="Times New Roman" w:eastAsia="Times New Roman" w:hAnsi="Times New Roman"/>
            <w:color w:val="1155cc"/>
            <w:u w:val="single"/>
            <w:rtl w:val="0"/>
          </w:rPr>
          <w:t xml:space="preserve">https://hearingreview.com/hearing-products/accessories/components/auditory-steady-state-response-assr-a-beginners-guide#:~:text=Test%20frequencies%20of%20500%2C%201000,%3E80%2D90%20Hz</w:t>
        </w:r>
      </w:hyperlink>
      <w:r w:rsidDel="00000000" w:rsidR="00000000" w:rsidRPr="00000000">
        <w:rPr>
          <w:rFonts w:ascii="Times New Roman" w:cs="Times New Roman" w:eastAsia="Times New Roman" w:hAnsi="Times New Roman"/>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hearingreview.com/hearing-products/accessories/components/auditory-steady-state-response-assr-a-beginners-guide#:~:text=Test%20frequencies%20of%20500%2C%201000,%3E80%2D90%20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