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FD0"/>
          <w:sz w:val="20"/>
          <w:szCs w:val="20"/>
        </w:rPr>
        <w:t xml:space="preserve">CORE · VALUE OS</w:t>
      </w:r>
    </w:p>
    <w:p>
      <w:pPr>
        <w:spacing w:after="40"/>
      </w:pPr>
      <w:r>
        <w:rPr>
          <w:b/>
          <w:bCs/>
          <w:color w:val="1A2338"/>
          <w:sz w:val="40"/>
          <w:szCs w:val="40"/>
        </w:rPr>
        <w:t xml:space="preserve">Arquitectura y plan de construcción</w:t>
      </w:r>
    </w:p>
    <w:p>
      <w:pPr>
        <w:spacing w:after="220"/>
      </w:pPr>
      <w:r>
        <w:rPr>
          <w:color w:val="5E6A8A"/>
          <w:sz w:val="22"/>
          <w:szCs w:val="22"/>
        </w:rPr>
        <w:t xml:space="preserve">Del prototipo al lanzamiento — enfoque MVP rápido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1A2338"/>
        </w:rPr>
        <w:t xml:space="preserve">Este documento traduce el prototipo actual (un HTML de alta fidelidad) en un plan para construir una plataforma que funcione de verdad. Está pensado para un MVP: lo mínimo para tener algo real, probado y vendible, sin construir de más. Sirve para planificar el proyecto y para hablar con desarrolladores o una fábrica de software.</w:t>
      </w:r>
    </w:p>
    <w:p>
      <w:pPr>
        <w:pStyle w:val="Heading1"/>
      </w:pPr>
      <w:r>
        <w:rPr>
          <w:b/>
          <w:bCs/>
          <w:color w:val="1A2338"/>
        </w:rPr>
        <w:t xml:space="preserve">1. Dónde estamos y qué falta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Lo que existe hoy es un </w:t>
      </w:r>
      <w:r>
        <w:rPr>
          <w:b/>
          <w:bCs/>
          <w:i w:val="false"/>
          <w:iCs w:val="false"/>
          <w:color w:val="1A2338"/>
        </w:rPr>
        <w:t xml:space="preserve">prototipo de alta fidelidad</w:t>
      </w:r>
      <w:r>
        <w:rPr>
          <w:b w:val="false"/>
          <w:bCs w:val="false"/>
          <w:i w:val="false"/>
          <w:iCs w:val="false"/>
          <w:color w:val="2B3550"/>
        </w:rPr>
        <w:t xml:space="preserve">: una interfaz que se ve y se navega como el producto final, pero sin datos reales ni lógica detrás. Es la maqueta del arquitecto — muestra la casa, pero nadie puede vivir en ella todavía.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El prototipo NO se desperdicia: es el plano que guía toda la construcción. Corresponde a la capa visual (la "Capa 5" de la arquitectura). Faltan las cuatro capas de abajo que le dan vida: las integraciones que bajan los datos, la base que los guarda, el backend que los calcula, y la seguridad que controla el acceso.</w:t>
      </w:r>
    </w:p>
    <w:p>
      <w:pPr>
        <w:pStyle w:val="Heading2"/>
      </w:pPr>
      <w:r>
        <w:rPr>
          <w:b/>
          <w:bCs/>
          <w:color w:val="1A2338"/>
        </w:rPr>
        <w:t xml:space="preserve">Las 5 capas de la plataforma</w:t>
      </w:r>
    </w:p>
    <w:tbl>
      <w:tblPr>
        <w:tblW w:type="dxa" w:w="8300"/>
        <w:tblBorders>
          <w:top w:val="single" w:color="D5DCEA" w:sz="2"/>
          <w:left w:val="single" w:color="D5DCEA" w:sz="2"/>
          <w:bottom w:val="single" w:color="D5DCEA" w:sz="2"/>
          <w:right w:val="single" w:color="D5DCEA" w:sz="2"/>
          <w:insideH w:val="single" w:color="D5DCEA" w:sz="1"/>
          <w:insideV w:val="single" w:color="D5DCEA" w:sz="1"/>
        </w:tblBorders>
      </w:tblPr>
      <w:tblGrid>
        <w:gridCol w:w="1500"/>
        <w:gridCol w:w="4700"/>
        <w:gridCol w:w="2100"/>
      </w:tblGrid>
      <w:tr>
        <w:trPr>
          <w:tblHeader/>
        </w:trPr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1 · Fuentes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Concar, SUNAT, bancos, PLAME — los sistemas que el cliente ya usa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Existen (del cliente)</w:t>
            </w:r>
          </w:p>
        </w:tc>
      </w:tr>
      <w:tr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2 · Integración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Baja, limpia y ordena los datos de las fuentes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Por construir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3 · Base de datos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Guarda empresas, usuarios, transacciones e indicadores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Por construir</w:t>
            </w:r>
          </w:p>
        </w:tc>
      </w:tr>
      <w:tr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4 · Backend / API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Calcula el EVA y los indicadores; controla login y permisos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Por construir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5 · Frontend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El dashboard y el asistente que ve el dueño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Prototipo listo (sin datos)</w:t>
            </w:r>
          </w:p>
        </w:tc>
      </w:tr>
    </w:tbl>
    <w:p>
      <w:pPr>
        <w:pStyle w:val="Heading1"/>
      </w:pPr>
      <w:r>
        <w:rPr>
          <w:b/>
          <w:bCs/>
          <w:color w:val="1A2338"/>
        </w:rPr>
        <w:t xml:space="preserve">2. Stack tecnológico (materiales de construcción)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Elegido con criterio MVP: herramientas maduras, con comunidad grande, baratas de arrancar y fáciles de encontrar desarrolladores en el mercado. Nada exótico.</w:t>
      </w:r>
    </w:p>
    <w:tbl>
      <w:tblPr>
        <w:tblW w:type="dxa" w:w="8300"/>
        <w:tblBorders>
          <w:top w:val="single" w:color="D5DCEA" w:sz="2"/>
          <w:left w:val="single" w:color="D5DCEA" w:sz="2"/>
          <w:bottom w:val="single" w:color="D5DCEA" w:sz="2"/>
          <w:right w:val="single" w:color="D5DCEA" w:sz="2"/>
          <w:insideH w:val="single" w:color="D5DCEA" w:sz="1"/>
          <w:insideV w:val="single" w:color="D5DCEA" w:sz="1"/>
        </w:tblBorders>
      </w:tblPr>
      <w:tblGrid>
        <w:gridCol w:w="1500"/>
        <w:gridCol w:w="2900"/>
        <w:gridCol w:w="3900"/>
      </w:tblGrid>
      <w:tr>
        <w:trPr>
          <w:tblHeader/>
        </w:trPr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Herramienta recomendada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Frontend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El prototipo HTML se traduce casi directo; enorme oferta de devs</w:t>
            </w:r>
          </w:p>
        </w:tc>
      </w:tr>
      <w:tr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Node.js o Python (FastAPI)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Rápido de construir; ideal para cálculos e integraciones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Robusta, gratis, estándar para datos financieros</w:t>
            </w:r>
          </w:p>
        </w:tc>
      </w:tr>
      <w:tr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Auth gestionado (ej. Clerk/Auth0)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Login por RUC y roles sin construir seguridad desde cero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Nube gestionada (Vercel + Railway/Render)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Barato al inicio, escala solo cuando haya clientes</w:t>
            </w:r>
          </w:p>
        </w:tc>
      </w:tr>
      <w:tr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Asistente IA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API de modelo de lenguaje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El bot que traduce preguntas en consultas a los datos</w:t>
            </w:r>
          </w:p>
        </w:tc>
      </w:tr>
    </w:tbl>
    <w:p>
      <w:pPr>
        <w:spacing w:after="110" w:line="288"/>
      </w:pPr>
      <w:r>
        <w:rPr>
          <w:b/>
          <w:bCs/>
          <w:i w:val="false"/>
          <w:iCs w:val="false"/>
          <w:color w:val="1A2338"/>
        </w:rPr>
        <w:t xml:space="preserve">Nota: </w:t>
      </w:r>
      <w:r>
        <w:rPr>
          <w:b w:val="false"/>
          <w:bCs w:val="false"/>
          <w:i w:val="false"/>
          <w:iCs w:val="false"/>
          <w:color w:val="2B3550"/>
        </w:rPr>
        <w:t xml:space="preserve">todo el stack tiene planes gratuitos o muy baratos para empezar. El costo real solo aparece cuando hay clientes pagando, que es cuando ya se justifica.</w:t>
      </w:r>
    </w:p>
    <w:p>
      <w:pPr>
        <w:pStyle w:val="Heading1"/>
      </w:pPr>
      <w:r>
        <w:rPr>
          <w:b/>
          <w:bCs/>
          <w:color w:val="1A2338"/>
        </w:rPr>
        <w:t xml:space="preserve">3. Modelo de datos (la memoria de la plataforma)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Es lo primero que se define, porque determina si los indicadores de la matriz de viabilidad son almacenables. En términos simples, estas son las "cajas" donde vive la información: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Empresas: </w:t>
      </w:r>
      <w:r>
        <w:rPr>
          <w:b w:val="false"/>
          <w:bCs w:val="false"/>
          <w:i w:val="false"/>
          <w:iCs w:val="false"/>
          <w:color w:val="2B3550"/>
        </w:rPr>
        <w:t xml:space="preserve">cada cliente (RUC, razón social, plan, WACC y colchón de caja definidos).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Usuarios: </w:t>
      </w:r>
      <w:r>
        <w:rPr>
          <w:b w:val="false"/>
          <w:bCs w:val="false"/>
          <w:i w:val="false"/>
          <w:iCs w:val="false"/>
          <w:color w:val="2B3550"/>
        </w:rPr>
        <w:t xml:space="preserve">quién entra, con qué rol (administrador o cliente) y a qué empresa pertenece.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Periodos: </w:t>
      </w:r>
      <w:r>
        <w:rPr>
          <w:b w:val="false"/>
          <w:bCs w:val="false"/>
          <w:i w:val="false"/>
          <w:iCs w:val="false"/>
          <w:color w:val="2B3550"/>
        </w:rPr>
        <w:t xml:space="preserve">cada mes/trimestre/año, para poder navegar en el tiempo.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Transacciones y saldos: </w:t>
      </w:r>
      <w:r>
        <w:rPr>
          <w:b w:val="false"/>
          <w:bCs w:val="false"/>
          <w:i w:val="false"/>
          <w:iCs w:val="false"/>
          <w:color w:val="2B3550"/>
        </w:rPr>
        <w:t xml:space="preserve">los datos crudos que bajan de las fuentes (asientos, tributos, planilla).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Indicadores calculados: </w:t>
      </w:r>
      <w:r>
        <w:rPr>
          <w:b w:val="false"/>
          <w:bCs w:val="false"/>
          <w:i w:val="false"/>
          <w:iCs w:val="false"/>
          <w:color w:val="2B3550"/>
        </w:rPr>
        <w:t xml:space="preserve">el EVA, DSO, preliquidación, etc. ya procesados y guardados por periodo, listos para mostrar rápido.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Este diseño permite lo que ya tiene el prototipo: cambiar de mes, comparar periodos, y separar la vista de cada empresa por seguridad.</w:t>
      </w:r>
    </w:p>
    <w:p>
      <w:pPr>
        <w:pStyle w:val="Heading1"/>
      </w:pPr>
      <w:r>
        <w:rPr>
          <w:b/>
          <w:bCs/>
          <w:color w:val="1A2338"/>
        </w:rPr>
        <w:t xml:space="preserve">4. Cómo se construye — fases del MVP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El principio para ir rápido y barato: </w:t>
      </w:r>
      <w:r>
        <w:rPr>
          <w:b/>
          <w:bCs/>
          <w:i w:val="false"/>
          <w:iCs w:val="false"/>
          <w:color w:val="1A2338"/>
        </w:rPr>
        <w:t xml:space="preserve">no construir las cinco capas completas de golpe.</w:t>
      </w:r>
      <w:r>
        <w:rPr>
          <w:b w:val="false"/>
          <w:bCs w:val="false"/>
          <w:i w:val="false"/>
          <w:iCs w:val="false"/>
          <w:color w:val="2B3550"/>
        </w:rPr>
        <w:t xml:space="preserve"> Se construye una "rebanada delgada" que atraviese las cinco capas y funcione de punta a punta (un solo módulo real), y luego se engorda replicando el patrón.</w:t>
      </w:r>
    </w:p>
    <w:p>
      <w:pPr>
        <w:pStyle w:val="Heading3"/>
      </w:pPr>
      <w:r>
        <w:rPr>
          <w:b/>
          <w:bCs/>
          <w:color w:val="2E5FD0"/>
        </w:rPr>
        <w:t xml:space="preserve">Fase 0 — Fundaciones · 1–2 semanas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Se define el modelo de datos, se elige el stack y se arma el esqueleto vacío: backend que responde, base que guarda, login que funciona. Sin indicadores todavía.</w:t>
      </w:r>
    </w:p>
    <w:p>
      <w:pPr>
        <w:spacing w:after="110" w:line="288"/>
      </w:pPr>
      <w:r>
        <w:rPr>
          <w:b/>
          <w:bCs/>
          <w:i w:val="false"/>
          <w:iCs w:val="false"/>
          <w:color w:val="1C9E7C"/>
        </w:rPr>
        <w:t xml:space="preserve">Validación: </w:t>
      </w:r>
      <w:r>
        <w:rPr>
          <w:b w:val="false"/>
          <w:bCs w:val="false"/>
          <w:i w:val="false"/>
          <w:iCs w:val="false"/>
          <w:color w:val="2B3550"/>
        </w:rPr>
        <w:t xml:space="preserve">puedo crear una empresa, un usuario, e iniciar sesión con RUC y rol correcto.</w:t>
      </w:r>
    </w:p>
    <w:p>
      <w:pPr>
        <w:pStyle w:val="Heading3"/>
      </w:pPr>
      <w:r>
        <w:rPr>
          <w:b/>
          <w:bCs/>
          <w:color w:val="2E5FD0"/>
        </w:rPr>
        <w:t xml:space="preserve">Fase 1 — Primera rebanada vertical · 3–4 semanas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Se elige UN módulo, el más "Directo" de la matriz: </w:t>
      </w:r>
      <w:r>
        <w:rPr>
          <w:b/>
          <w:bCs/>
          <w:i w:val="false"/>
          <w:iCs w:val="false"/>
          <w:color w:val="1A2338"/>
        </w:rPr>
        <w:t xml:space="preserve">Contabilidad</w:t>
      </w:r>
      <w:r>
        <w:rPr>
          <w:b w:val="false"/>
          <w:bCs w:val="false"/>
          <w:i w:val="false"/>
          <w:iCs w:val="false"/>
          <w:color w:val="2B3550"/>
        </w:rPr>
        <w:t xml:space="preserve">. Se construye completo de la fuente al dueño: se conecta o sube el balance, el backend lo procesa, la base lo guarda, el frontend lo muestra con datos reales. Cuando funciona, queda probada toda la arquitectura.</w:t>
      </w:r>
    </w:p>
    <w:p>
      <w:pPr>
        <w:spacing w:after="110" w:line="288"/>
      </w:pPr>
      <w:r>
        <w:rPr>
          <w:b/>
          <w:bCs/>
          <w:i w:val="false"/>
          <w:iCs w:val="false"/>
          <w:color w:val="1C9E7C"/>
        </w:rPr>
        <w:t xml:space="preserve">Validación: </w:t>
      </w:r>
      <w:r>
        <w:rPr>
          <w:b w:val="false"/>
          <w:bCs w:val="false"/>
          <w:i w:val="false"/>
          <w:iCs w:val="false"/>
          <w:color w:val="2B3550"/>
        </w:rPr>
        <w:t xml:space="preserve">un balance real de Chimbote Fleet se ve correcto en pantalla, con su subcomposición y %.</w:t>
      </w:r>
    </w:p>
    <w:p>
      <w:pPr>
        <w:pStyle w:val="Heading3"/>
      </w:pPr>
      <w:r>
        <w:rPr>
          <w:b/>
          <w:bCs/>
          <w:color w:val="2E5FD0"/>
        </w:rPr>
        <w:t xml:space="preserve">Fase 2 — Engordar el MVP · 4–6 semanas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Se replica el patrón de la rebanada para los otros dos módulos prioritarios: </w:t>
      </w:r>
      <w:r>
        <w:rPr>
          <w:b/>
          <w:bCs/>
          <w:i w:val="false"/>
          <w:iCs w:val="false"/>
          <w:color w:val="1A2338"/>
        </w:rPr>
        <w:t xml:space="preserve">Tributación y Analytics</w:t>
      </w:r>
      <w:r>
        <w:rPr>
          <w:b w:val="false"/>
          <w:bCs w:val="false"/>
          <w:i w:val="false"/>
          <w:iCs w:val="false"/>
          <w:color w:val="2B3550"/>
        </w:rPr>
        <w:t xml:space="preserve">. Se conecta SUNAT y se calculan los indicadores adelantados (runway, DSO, preliquidación). Al final hay un MVP vendible: tres módulos con datos reales.</w:t>
      </w:r>
    </w:p>
    <w:p>
      <w:pPr>
        <w:spacing w:after="110" w:line="288"/>
      </w:pPr>
      <w:r>
        <w:rPr>
          <w:b/>
          <w:bCs/>
          <w:i w:val="false"/>
          <w:iCs w:val="false"/>
          <w:color w:val="1C9E7C"/>
        </w:rPr>
        <w:t xml:space="preserve">Validación: </w:t>
      </w:r>
      <w:r>
        <w:rPr>
          <w:b w:val="false"/>
          <w:bCs w:val="false"/>
          <w:i w:val="false"/>
          <w:iCs w:val="false"/>
          <w:color w:val="2B3550"/>
        </w:rPr>
        <w:t xml:space="preserve">la preliquidación de IGV coincide con lo que declararía el contador; los indicadores adelantados reaccionan a datos reales.</w:t>
      </w:r>
    </w:p>
    <w:p>
      <w:pPr>
        <w:pStyle w:val="Heading3"/>
      </w:pPr>
      <w:r>
        <w:rPr>
          <w:b/>
          <w:bCs/>
          <w:color w:val="2E5FD0"/>
        </w:rPr>
        <w:t xml:space="preserve">Fase 3 — El asistente de IA · 2–3 semanas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Se conecta el bot a los datos reales (hoy responde con ejemplos). Un modelo de lenguaje traduce la pregunta del dueño ("¿cuánto puedo reinvertir?") en una consulta a la base y devuelve la respuesta en español, citando la fuente.</w:t>
      </w:r>
    </w:p>
    <w:p>
      <w:pPr>
        <w:spacing w:after="110" w:line="288"/>
      </w:pPr>
      <w:r>
        <w:rPr>
          <w:b/>
          <w:bCs/>
          <w:i w:val="false"/>
          <w:iCs w:val="false"/>
          <w:color w:val="1C9E7C"/>
        </w:rPr>
        <w:t xml:space="preserve">Validación: </w:t>
      </w:r>
      <w:r>
        <w:rPr>
          <w:b w:val="false"/>
          <w:bCs w:val="false"/>
          <w:i w:val="false"/>
          <w:iCs w:val="false"/>
          <w:color w:val="2B3550"/>
        </w:rPr>
        <w:t xml:space="preserve">el dueño pregunta en lenguaje natural y recibe su número real, correcto y con su origen.</w:t>
      </w:r>
    </w:p>
    <w:p>
      <w:pPr>
        <w:spacing w:after="110" w:line="288"/>
      </w:pPr>
      <w:r>
        <w:rPr>
          <w:b/>
          <w:bCs/>
          <w:i w:val="false"/>
          <w:iCs w:val="false"/>
          <w:color w:val="1A2338"/>
        </w:rPr>
        <w:t xml:space="preserve">Total estimado del MVP: </w:t>
      </w:r>
      <w:r>
        <w:rPr>
          <w:b w:val="false"/>
          <w:bCs w:val="false"/>
          <w:i w:val="false"/>
          <w:iCs w:val="false"/>
          <w:color w:val="2B3550"/>
        </w:rPr>
        <w:t xml:space="preserve">aproximadamente 3 a 4 meses con un equipo pequeño (1-2 desarrolladores). Los módulos restantes (Laboral, Patrimonial, Ingreso, Calendario) se suman después del lanzamiento, ya con ingresos.</w:t>
      </w:r>
    </w:p>
    <w:p>
      <w:pPr>
        <w:pStyle w:val="Heading1"/>
      </w:pPr>
      <w:r>
        <w:rPr>
          <w:b/>
          <w:bCs/>
          <w:color w:val="1A2338"/>
        </w:rPr>
        <w:t xml:space="preserve">5. Testing y validaciones (dónde nace la confianza)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En una plataforma financiera el testing no es opcional: un cálculo mal hecho es un cliente que toma una mala decisión. Hay tres niveles que corren durante todas las fases.</w:t>
      </w:r>
    </w:p>
    <w:tbl>
      <w:tblPr>
        <w:tblW w:type="dxa" w:w="8300"/>
        <w:tblBorders>
          <w:top w:val="single" w:color="D5DCEA" w:sz="2"/>
          <w:left w:val="single" w:color="D5DCEA" w:sz="2"/>
          <w:bottom w:val="single" w:color="D5DCEA" w:sz="2"/>
          <w:right w:val="single" w:color="D5DCEA" w:sz="2"/>
          <w:insideH w:val="single" w:color="D5DCEA" w:sz="1"/>
          <w:insideV w:val="single" w:color="D5DCEA" w:sz="1"/>
        </w:tblBorders>
      </w:tblPr>
      <w:tblGrid>
        <w:gridCol w:w="2100"/>
        <w:gridCol w:w="3100"/>
        <w:gridCol w:w="3100"/>
      </w:tblGrid>
      <w:tr>
        <w:trPr>
          <w:tblHeader/>
        </w:trPr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Qué valida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Ejemplo en Core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Pruebas unitarias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Cada cálculo por separado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¿El EVA y la preliquidación de IGV dan el número exacto?</w:t>
            </w:r>
          </w:p>
        </w:tc>
      </w:tr>
      <w:tr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Pruebas de integración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Que las capas se comuniquen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¿El dato que baja de SUNAT llega correcto hasta la pantalla?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Pruebas de aceptación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Que coincida con la realidad del cliente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¿Los números de la plataforma cuadran con la contabilidad real?</w:t>
            </w:r>
          </w:p>
        </w:tc>
      </w:tr>
    </w:tbl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El tercer nivel es el que da confianza para vender: </w:t>
      </w:r>
      <w:r>
        <w:rPr>
          <w:b/>
          <w:bCs/>
          <w:i w:val="false"/>
          <w:iCs w:val="false"/>
          <w:color w:val="1A2338"/>
        </w:rPr>
        <w:t xml:space="preserve">se valida con un cliente real</w:t>
      </w:r>
      <w:r>
        <w:rPr>
          <w:b w:val="false"/>
          <w:bCs w:val="false"/>
          <w:i w:val="false"/>
          <w:iCs w:val="false"/>
          <w:color w:val="2B3550"/>
        </w:rPr>
        <w:t xml:space="preserve"> (Chimbote Fleet) contrastando cada número de la plataforma contra su contabilidad. Si cuadra, el dueño confía; si el contador confía, compra.</w:t>
      </w:r>
    </w:p>
    <w:p>
      <w:pPr>
        <w:pStyle w:val="Heading1"/>
      </w:pPr>
      <w:r>
        <w:rPr>
          <w:b/>
          <w:bCs/>
          <w:color w:val="1A2338"/>
        </w:rPr>
        <w:t xml:space="preserve">6. Lanzamiento (no es un evento, es una secuencia)</w:t>
      </w:r>
    </w:p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Lanzar de golpe a todo el mundo es el error más común. La secuencia correcta reduce el riesgo en cada paso:</w:t>
      </w:r>
    </w:p>
    <w:tbl>
      <w:tblPr>
        <w:tblW w:type="dxa" w:w="8300"/>
        <w:tblBorders>
          <w:top w:val="single" w:color="D5DCEA" w:sz="2"/>
          <w:left w:val="single" w:color="D5DCEA" w:sz="2"/>
          <w:bottom w:val="single" w:color="D5DCEA" w:sz="2"/>
          <w:right w:val="single" w:color="D5DCEA" w:sz="2"/>
          <w:insideH w:val="single" w:color="D5DCEA" w:sz="1"/>
          <w:insideV w:val="single" w:color="D5DCEA" w:sz="1"/>
        </w:tblBorders>
      </w:tblPr>
      <w:tblGrid>
        <w:gridCol w:w="1900"/>
        <w:gridCol w:w="3000"/>
        <w:gridCol w:w="3400"/>
      </w:tblGrid>
      <w:tr>
        <w:trPr>
          <w:tblHeader/>
        </w:trPr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 quién</w:t>
            </w:r>
          </w:p>
        </w:tc>
        <w:tc>
          <w:tcPr>
            <w:tcW w:type="dxa" w:w="0"/>
            <w:shd w:fill="1621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Qué se busca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Piloto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1–2 empresas de confianza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Validar con datos reales sin riesgo de reputación</w:t>
            </w:r>
          </w:p>
        </w:tc>
      </w:tr>
      <w:tr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Beta cerrado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5–10 clientes seleccionados</w:t>
            </w:r>
          </w:p>
        </w:tc>
        <w:tc>
          <w:tcPr>
            <w:tcW w:type="dxa" w:w="0"/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Encontrar errores que solo aparecen con volumen y variedad</w:t>
            </w:r>
          </w:p>
        </w:tc>
      </w:tr>
      <w:tr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2338"/>
                <w:sz w:val="18"/>
                <w:szCs w:val="18"/>
              </w:rPr>
              <w:t xml:space="preserve">Lanzamiento abierto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Mercado general</w:t>
            </w:r>
          </w:p>
        </w:tc>
        <w:tc>
          <w:tcPr>
            <w:tcW w:type="dxa" w:w="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3550"/>
                <w:sz w:val="18"/>
                <w:szCs w:val="18"/>
              </w:rPr>
              <w:t xml:space="preserve">Ya con producto probado y casos de éxito para vender</w:t>
            </w:r>
          </w:p>
        </w:tc>
      </w:tr>
    </w:tbl>
    <w:p>
      <w:pPr>
        <w:spacing w:after="110" w:line="288"/>
      </w:pPr>
      <w:r>
        <w:rPr>
          <w:b w:val="false"/>
          <w:bCs w:val="false"/>
          <w:i w:val="false"/>
          <w:iCs w:val="false"/>
          <w:color w:val="2B3550"/>
        </w:rPr>
        <w:t xml:space="preserve">Cada etapa alimenta a la siguiente: el piloto genera el primer caso de éxito, el beta pule el producto, y el lanzamiento abierto se apoya en ambos para vender con confianza.</w:t>
      </w:r>
    </w:p>
    <w:p>
      <w:pPr>
        <w:pStyle w:val="Heading1"/>
      </w:pPr>
      <w:r>
        <w:rPr>
          <w:b/>
          <w:bCs/>
          <w:color w:val="1A2338"/>
        </w:rPr>
        <w:t xml:space="preserve">7. Qué hacer ahora — primeros pasos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1. Definir el modelo de datos </w:t>
      </w:r>
      <w:r>
        <w:rPr>
          <w:b w:val="false"/>
          <w:bCs w:val="false"/>
          <w:i w:val="false"/>
          <w:iCs w:val="false"/>
          <w:color w:val="2B3550"/>
        </w:rPr>
        <w:t xml:space="preserve">a partir de la matriz de viabilidad (qué se guarda por módulo).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2. Validar el stack y estimar costos </w:t>
      </w:r>
      <w:r>
        <w:rPr>
          <w:b w:val="false"/>
          <w:bCs w:val="false"/>
          <w:i w:val="false"/>
          <w:iCs w:val="false"/>
          <w:color w:val="2B3550"/>
        </w:rPr>
        <w:t xml:space="preserve">con un desarrollador o fábrica de software, usando este documento como base.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3. Construir la Fase 0 + Fase 1 </w:t>
      </w:r>
      <w:r>
        <w:rPr>
          <w:b w:val="false"/>
          <w:bCs w:val="false"/>
          <w:i w:val="false"/>
          <w:iCs w:val="false"/>
          <w:color w:val="2B3550"/>
        </w:rPr>
        <w:t xml:space="preserve">(esqueleto + módulo de Contabilidad real) como prueba de que la arquitectura funciona.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b/>
          <w:bCs/>
          <w:i w:val="false"/>
          <w:iCs w:val="false"/>
          <w:color w:val="1A2338"/>
        </w:rPr>
        <w:t xml:space="preserve">4. Conseguir el cliente piloto </w:t>
      </w:r>
      <w:r>
        <w:rPr>
          <w:b w:val="false"/>
          <w:bCs w:val="false"/>
          <w:i w:val="false"/>
          <w:iCs w:val="false"/>
          <w:color w:val="2B3550"/>
        </w:rPr>
        <w:t xml:space="preserve">(Chimbote Fleet u otro de confianza) para validar con datos reales desde temprano.</w:t>
      </w:r>
    </w:p>
    <w:p>
      <w:pPr>
        <w:spacing w:after="110" w:line="288"/>
      </w:pPr>
      <w:r>
        <w:rPr>
          <w:b w:val="false"/>
          <w:bCs w:val="false"/>
          <w:i/>
          <w:iCs/>
          <w:color w:val="5E6A8A"/>
        </w:rPr>
        <w:t xml:space="preserve">Con esto en mano, cualquier desarrollador o fábrica de software puede cotizar y arrancar con un alcance claro — sin ambigüedad sobre qué se construye ni en qué orden.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1A23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1A233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2E5FD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y plan de construcción — Core</dc:title>
  <dc:creator>Core</dc:creator>
  <cp:lastModifiedBy>Un-named</cp:lastModifiedBy>
  <cp:revision>1</cp:revision>
  <dcterms:created xsi:type="dcterms:W3CDTF">2026-07-11T15:18:42.345Z</dcterms:created>
  <dcterms:modified xsi:type="dcterms:W3CDTF">2026-07-11T15:18:42.359Z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