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Retenciones al pagarle:</w:t>
      </w:r>
      <w:r>
        <w:t xml:space="preserve"> </w:t>
      </w:r>
      <w:r>
        <w:t xml:space="preserve">en la ficha del proveedor (Editar) hay una sección</w:t>
      </w:r>
      <w:r>
        <w:t xml:space="preserve"> </w:t>
      </w:r>
      <w:r>
        <w:rPr>
          <w:b/>
          <w:bCs/>
        </w:rPr>
        <w:t xml:space="preserve">Retenciones al pagarle</w:t>
      </w:r>
      <w:r>
        <w:t xml:space="preserve">. Con</w:t>
      </w:r>
      <w:r>
        <w:t xml:space="preserve"> </w:t>
      </w:r>
      <w:r>
        <w:rPr>
          <w:b/>
          <w:bCs/>
        </w:rPr>
        <w:t xml:space="preserve">+ Régimen de retención</w:t>
      </w:r>
      <w:r>
        <w:t xml:space="preserve"> </w:t>
      </w:r>
      <w:r>
        <w:t xml:space="preserve">elegís qué se le retiene (por ejemplo</w:t>
      </w:r>
      <w:r>
        <w:t xml:space="preserve"> </w:t>
      </w:r>
      <w:r>
        <w:rPr>
          <w:i/>
          <w:iCs/>
        </w:rPr>
        <w:t xml:space="preserve">Ganancias · 78 · Enajenación de bienes muebles</w:t>
      </w:r>
      <w:r>
        <w:t xml:space="preserve">), si es</w:t>
      </w:r>
      <w:r>
        <w:t xml:space="preserve"> </w:t>
      </w:r>
      <w:r>
        <w:rPr>
          <w:b/>
          <w:bCs/>
        </w:rPr>
        <w:t xml:space="preserve">inscripto o no inscripto</w:t>
      </w:r>
      <w:r>
        <w:t xml:space="preserve"> </w:t>
      </w:r>
      <w:r>
        <w:t xml:space="preserve">y, si presentó un</w:t>
      </w:r>
      <w:r>
        <w:t xml:space="preserve"> </w:t>
      </w:r>
      <w:r>
        <w:rPr>
          <w:b/>
          <w:bCs/>
        </w:rPr>
        <w:t xml:space="preserve">certificado de exclusión</w:t>
      </w:r>
      <w:r>
        <w:t xml:space="preserve">, el número y hasta cuándo rige (mientras esté vigente no se le retiene). Un proveedor sin regímenes cargados no tiene retenciones. Los que sí tienen aparecen con la marca</w:t>
      </w:r>
      <w:r>
        <w:t xml:space="preserve"> </w:t>
      </w:r>
      <w:r>
        <w:rPr>
          <w:b/>
          <w:bCs/>
        </w:rPr>
        <w:t xml:space="preserve">RET</w:t>
      </w:r>
      <w:r>
        <w:t xml:space="preserve"> </w:t>
      </w:r>
      <w:r>
        <w:t xml:space="preserve">en la lista.</w:t>
      </w:r>
    </w:p>
    <w:p>
      <w:pPr>
        <w:pStyle w:val="BodyText"/>
      </w:pPr>
      <w:r>
        <w:rPr>
          <w:b/>
          <w:bCs/>
        </w:rPr>
        <w:t xml:space="preserve">Cuenta corriente del proveedor:</w:t>
      </w:r>
      <w:r>
        <w:t xml:space="preserve"> </w:t>
      </w:r>
      <w:r>
        <w:t xml:space="preserve">el botón</w:t>
      </w:r>
      <w:r>
        <w:t xml:space="preserve"> </w:t>
      </w:r>
      <w:r>
        <w:rPr>
          <w:b/>
          <w:bCs/>
        </w:rPr>
        <w:t xml:space="preserve">Cta. cte.</w:t>
      </w:r>
      <w:r>
        <w:t xml:space="preserve"> </w:t>
      </w:r>
      <w:r>
        <w:t xml:space="preserve">de cada fila abre todos sus movimientos (facturas, notas de crédito y débito, órdenes de pago) con el saldo corrido por moneda, y se puede</w:t>
      </w:r>
      <w:r>
        <w:t xml:space="preserve"> </w:t>
      </w:r>
      <w:r>
        <w:rPr>
          <w:b/>
          <w:bCs/>
        </w:rPr>
        <w:t xml:space="preserve">imprimir</w:t>
      </w:r>
      <w:r>
        <w:t xml:space="preserve"> </w:t>
      </w:r>
      <w:r>
        <w:t xml:space="preserve">o bajar a</w:t>
      </w:r>
      <w:r>
        <w:t xml:space="preserve"> </w:t>
      </w:r>
      <w:r>
        <w:rPr>
          <w:b/>
          <w:bCs/>
        </w:rPr>
        <w:t xml:space="preserve">Excel</w:t>
      </w:r>
      <w:r>
        <w:t xml:space="preserve">.</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pagás. El monto a imputar de cada factura tildada</w:t>
      </w:r>
      <w:r>
        <w:t xml:space="preserve"> </w:t>
      </w:r>
      <w:r>
        <w:rPr>
          <w:b/>
          <w:bCs/>
        </w:rPr>
        <w:t xml:space="preserve">sigue solo al total de los medios</w:t>
      </w:r>
      <w:r>
        <w:t xml:space="preserve">: si la factura es de $121.000 y cargás una transferencia de $40.000, se imputan $40.000 y la factura queda con saldo $81.000 (abajo de la fila ves</w:t>
      </w:r>
      <w:r>
        <w:t xml:space="preserve"> </w:t>
      </w:r>
      <w:r>
        <w:t xml:space="preserve">“pago parcial · quedan…”</w:t>
      </w:r>
      <w:r>
        <w:t xml:space="preserve">). Si preferís fijar el importe a mano, escribilo en la columna</w:t>
      </w:r>
      <w:r>
        <w:t xml:space="preserve"> </w:t>
      </w:r>
      <w:r>
        <w:rPr>
          <w:b/>
          <w:bCs/>
        </w:rPr>
        <w:t xml:space="preserve">Imputar</w:t>
      </w:r>
      <w:r>
        <w:t xml:space="preserve"> </w:t>
      </w:r>
      <w:r>
        <w:t xml:space="preserve">(borrá el número para que vuelva a ser automático).</w:t>
      </w:r>
      <w:r>
        <w:t xml:space="preserve"> </w:t>
      </w:r>
      <w:r>
        <w:rPr>
          <w:b/>
          <w:bCs/>
        </w:rPr>
        <w:t xml:space="preserve">Imputar automático</w:t>
      </w:r>
      <w:r>
        <w:t xml:space="preserve"> </w:t>
      </w:r>
      <w:r>
        <w:t xml:space="preserve">reparte el total de los medios entre todas las facturas, la más vieja primero.</w:t>
      </w:r>
    </w:p>
    <w:p>
      <w:pPr>
        <w:pStyle w:val="FirstParagraph"/>
      </w:pPr>
      <w:r>
        <w:rPr>
          <w:b/>
          <w:bCs/>
        </w:rPr>
        <w:t xml:space="preserve">Pagar en partes (pago parcial):</w:t>
      </w:r>
      <w:r>
        <w:t xml:space="preserve"> </w:t>
      </w:r>
      <w:r>
        <w:t xml:space="preserve">desde el botón</w:t>
      </w:r>
      <w:r>
        <w:t xml:space="preserve"> </w:t>
      </w:r>
      <w:r>
        <w:rPr>
          <w:b/>
          <w:bCs/>
        </w:rPr>
        <w:t xml:space="preserve">Pagar</w:t>
      </w:r>
      <w:r>
        <w:t xml:space="preserve"> </w:t>
      </w:r>
      <w:r>
        <w:t xml:space="preserve">de la factura, la OP se abre con la factura tildada y el medio cargado con el saldo completo. Bajá el monto del medio a lo que pagás hoy y registrá. La factura queda marcada</w:t>
      </w:r>
      <w:r>
        <w:t xml:space="preserve"> </w:t>
      </w:r>
      <w:r>
        <w:rPr>
          <w:b/>
          <w:bCs/>
        </w:rPr>
        <w:t xml:space="preserve">PARCIAL</w:t>
      </w:r>
      <w:r>
        <w:t xml:space="preserve"> </w:t>
      </w:r>
      <w:r>
        <w:t xml:space="preserve">en la lista con lo pagado y el saldo; la próxima vez que apretás</w:t>
      </w:r>
      <w:r>
        <w:t xml:space="preserve"> </w:t>
      </w:r>
      <w:r>
        <w:rPr>
          <w:b/>
          <w:bCs/>
        </w:rPr>
        <w:t xml:space="preserve">Pagar</w:t>
      </w:r>
      <w:r>
        <w:t xml:space="preserve"> </w:t>
      </w:r>
      <w:r>
        <w:t xml:space="preserve">sale sólo el saldo que falta. Podés hacer tantas OPs como cuotas haya; cada una lleva su asiento y su PDF.</w:t>
      </w:r>
      <w:r>
        <w:t xml:space="preserve"> </w:t>
      </w:r>
      <w:r>
        <w:t xml:space="preserve">3. 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r>
        <w:t xml:space="preserve"> </w:t>
      </w:r>
      <w:r>
        <w:t xml:space="preserve">4. 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r>
        <w:t xml:space="preserve"> </w:t>
      </w:r>
      <w:r>
        <w:t xml:space="preserve">5.</w:t>
      </w:r>
      <w:r>
        <w:t xml:space="preserve"> </w:t>
      </w: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BodyText"/>
      </w:pPr>
      <w:r>
        <w:rPr>
          <w:b/>
          <w:bCs/>
        </w:rPr>
        <w:t xml:space="preserve">Dónde queda la orden:</w:t>
      </w:r>
      <w:r>
        <w:t xml:space="preserve"> </w:t>
      </w:r>
      <w:r>
        <w:t xml:space="preserve">en</w:t>
      </w:r>
      <w:r>
        <w:t xml:space="preserve"> </w:t>
      </w:r>
      <w:r>
        <w:rPr>
          <w:b/>
          <w:bCs/>
        </w:rPr>
        <w:t xml:space="preserve">Compras → Órdenes de pago</w:t>
      </w:r>
      <w:r>
        <w:t xml:space="preserve">, con el botón</w:t>
      </w:r>
      <w:r>
        <w:t xml:space="preserve"> </w:t>
      </w:r>
      <w:r>
        <w:rPr>
          <w:b/>
          <w:bCs/>
        </w:rPr>
        <w:t xml:space="preserve">PDF</w:t>
      </w:r>
      <w:r>
        <w:t xml:space="preserve"> </w:t>
      </w:r>
      <w:r>
        <w:t xml:space="preserve">para volver a bajarla cuando quieras. También llegás desde</w:t>
      </w:r>
      <w:r>
        <w:t xml:space="preserve"> </w:t>
      </w:r>
      <w:r>
        <w:rPr>
          <w:b/>
          <w:bCs/>
        </w:rPr>
        <w:t xml:space="preserve">Contabilidad → Cobros y pagos</w:t>
      </w:r>
      <w:r>
        <w:t xml:space="preserve"> </w:t>
      </w:r>
      <w:r>
        <w:t xml:space="preserve">(el pago muestra su número de OP y el botón</w:t>
      </w:r>
      <w:r>
        <w:t xml:space="preserve"> </w:t>
      </w:r>
      <w:r>
        <w:rPr>
          <w:b/>
          <w:bCs/>
        </w:rPr>
        <w:t xml:space="preserve">OP PDF</w:t>
      </w:r>
      <w:r>
        <w:t xml:space="preserve">), desde la</w:t>
      </w:r>
      <w:r>
        <w:t xml:space="preserve"> </w:t>
      </w:r>
      <w:r>
        <w:rPr>
          <w:b/>
          <w:bCs/>
        </w:rPr>
        <w:t xml:space="preserve">factura</w:t>
      </w:r>
      <w:r>
        <w:t xml:space="preserve"> </w:t>
      </w:r>
      <w:r>
        <w:t xml:space="preserve">(dice</w:t>
      </w:r>
      <w:r>
        <w:t xml:space="preserve"> </w:t>
      </w:r>
      <w:r>
        <w:t xml:space="preserve">“pagada con OP-nnnn”</w:t>
      </w:r>
      <w:r>
        <w:t xml:space="preserve">) y desde el</w:t>
      </w:r>
      <w:r>
        <w:t xml:space="preserve"> </w:t>
      </w:r>
      <w:r>
        <w:rPr>
          <w:b/>
          <w:bCs/>
        </w:rPr>
        <w:t xml:space="preserve">cheque</w:t>
      </w:r>
      <w:r>
        <w:t xml:space="preserve"> </w:t>
      </w:r>
      <w:r>
        <w:t xml:space="preserve">que emitió.</w:t>
      </w:r>
    </w:p>
    <w:p>
      <w:pPr>
        <w:pStyle w:val="BodyText"/>
      </w:pPr>
      <w:r>
        <w:rPr>
          <w:b/>
          <w:bCs/>
        </w:rPr>
        <w:t xml:space="preserve">Retenciones (Ganancias y otras):</w:t>
      </w:r>
      <w:r>
        <w:t xml:space="preserve"> </w:t>
      </w:r>
      <w:r>
        <w:t xml:space="preserve">si el proveedor tiene regímenes de retención cargados, la orden</w:t>
      </w:r>
      <w:r>
        <w:t xml:space="preserve"> </w:t>
      </w:r>
      <w:r>
        <w:rPr>
          <w:b/>
          <w:bCs/>
        </w:rPr>
        <w:t xml:space="preserve">calcula sola la retención</w:t>
      </w:r>
      <w:r>
        <w:t xml:space="preserve"> </w:t>
      </w:r>
      <w:r>
        <w:t xml:space="preserve">y la agrega como un renglón más entre los medios, en ámbar, con la cuenta: base del pago (sin IVA ni percepciones) + lo ya pagado en el mes − mínimo no sujeto × alícuota − lo ya retenido en el mes.</w:t>
      </w:r>
    </w:p>
    <w:p>
      <w:pPr>
        <w:pStyle w:val="Compact"/>
        <w:numPr>
          <w:ilvl w:val="0"/>
          <w:numId w:val="1013"/>
        </w:numPr>
      </w:pPr>
      <w:r>
        <w:t xml:space="preserve">Desde el botón</w:t>
      </w:r>
      <w:r>
        <w:t xml:space="preserve"> </w:t>
      </w:r>
      <w:r>
        <w:rPr>
          <w:b/>
          <w:bCs/>
        </w:rPr>
        <w:t xml:space="preserve">Pagar</w:t>
      </w:r>
      <w:r>
        <w:t xml:space="preserve"> </w:t>
      </w:r>
      <w:r>
        <w:t xml:space="preserve">de una factura, el total a cancelar es el saldo de la factura: la retención</w:t>
      </w:r>
      <w:r>
        <w:t xml:space="preserve"> </w:t>
      </w:r>
      <w:r>
        <w:rPr>
          <w:b/>
          <w:bCs/>
        </w:rPr>
        <w:t xml:space="preserve">se descuenta</w:t>
      </w:r>
      <w:r>
        <w:t xml:space="preserve"> </w:t>
      </w:r>
      <w:r>
        <w:t xml:space="preserve">de lo que transferís (factura de $1.210.000 con retención de $15.520 → transferís $1.194.480).</w:t>
      </w:r>
    </w:p>
    <w:p>
      <w:pPr>
        <w:pStyle w:val="Compact"/>
        <w:numPr>
          <w:ilvl w:val="0"/>
          <w:numId w:val="1013"/>
        </w:numPr>
      </w:pPr>
      <w:r>
        <w:t xml:space="preserve">Si escribís vos el importe del medio, ese es lo que</w:t>
      </w:r>
      <w:r>
        <w:t xml:space="preserve"> </w:t>
      </w:r>
      <w:r>
        <w:rPr>
          <w:b/>
          <w:bCs/>
        </w:rPr>
        <w:t xml:space="preserve">efectivamente pagás</w:t>
      </w:r>
      <w:r>
        <w:t xml:space="preserve"> </w:t>
      </w:r>
      <w:r>
        <w:t xml:space="preserve">y la retención se suma arriba para llegar al total cancelado.</w:t>
      </w:r>
    </w:p>
    <w:p>
      <w:pPr>
        <w:pStyle w:val="Compact"/>
        <w:numPr>
          <w:ilvl w:val="0"/>
          <w:numId w:val="1013"/>
        </w:numPr>
      </w:pPr>
      <w:r>
        <w:t xml:space="preserve">Si el pago no llega al mínimo, la orden lo avisa (</w:t>
      </w:r>
      <w:r>
        <w:t xml:space="preserve">“sin retención — no supera el mínimo no sujeto”</w:t>
      </w:r>
      <w:r>
        <w:t xml:space="preserve">) y</w:t>
      </w:r>
      <w:r>
        <w:t xml:space="preserve"> </w:t>
      </w:r>
      <w:r>
        <w:rPr>
          <w:b/>
          <w:bCs/>
        </w:rPr>
        <w:t xml:space="preserve">guarda la base</w:t>
      </w:r>
      <w:r>
        <w:t xml:space="preserve"> </w:t>
      </w:r>
      <w:r>
        <w:t xml:space="preserve">para acumularla con el próximo pago del mes.</w:t>
      </w:r>
    </w:p>
    <w:p>
      <w:pPr>
        <w:pStyle w:val="Compact"/>
        <w:numPr>
          <w:ilvl w:val="0"/>
          <w:numId w:val="1013"/>
        </w:numPr>
      </w:pPr>
      <w:r>
        <w:t xml:space="preserve">Podés</w:t>
      </w:r>
      <w:r>
        <w:t xml:space="preserve"> </w:t>
      </w:r>
      <w:r>
        <w:rPr>
          <w:b/>
          <w:bCs/>
        </w:rPr>
        <w:t xml:space="preserve">corregir el importe a mano</w:t>
      </w:r>
      <w:r>
        <w:t xml:space="preserve"> </w:t>
      </w:r>
      <w:r>
        <w:t xml:space="preserve">(queda marcado</w:t>
      </w:r>
      <w:r>
        <w:t xml:space="preserve"> </w:t>
      </w:r>
      <w:r>
        <w:t xml:space="preserve">“importe a mano”</w:t>
      </w:r>
      <w:r>
        <w:t xml:space="preserve">) o quitar la retención con la</w:t>
      </w:r>
      <w:r>
        <w:t xml:space="preserve"> </w:t>
      </w:r>
      <w:r>
        <w:rPr>
          <w:b/>
          <w:bCs/>
        </w:rPr>
        <w:t xml:space="preserve">×</w:t>
      </w:r>
      <w:r>
        <w:t xml:space="preserve">;</w:t>
      </w:r>
      <w:r>
        <w:t xml:space="preserve"> </w:t>
      </w:r>
      <w:r>
        <w:rPr>
          <w:b/>
          <w:bCs/>
        </w:rPr>
        <w:t xml:space="preserve">↻ Recalcular retenciones</w:t>
      </w:r>
      <w:r>
        <w:t xml:space="preserve"> </w:t>
      </w:r>
      <w:r>
        <w:t xml:space="preserve">vuelve al cálculo automático.</w:t>
      </w:r>
    </w:p>
    <w:p>
      <w:pPr>
        <w:pStyle w:val="Compact"/>
        <w:numPr>
          <w:ilvl w:val="0"/>
          <w:numId w:val="1013"/>
        </w:numPr>
      </w:pPr>
      <w:r>
        <w:t xml:space="preserve">Al registrar, el asiento manda la retención a la cuenta de</w:t>
      </w:r>
      <w:r>
        <w:t xml:space="preserve"> </w:t>
      </w:r>
      <w:r>
        <w:rPr>
          <w:i/>
          <w:iCs/>
        </w:rPr>
        <w:t xml:space="preserve">retenciones a depositar</w:t>
      </w:r>
      <w:r>
        <w:t xml:space="preserve"> </w:t>
      </w:r>
      <w:r>
        <w:t xml:space="preserve">y te ofrece el</w:t>
      </w:r>
      <w:r>
        <w:t xml:space="preserve"> </w:t>
      </w:r>
      <w:r>
        <w:rPr>
          <w:b/>
          <w:bCs/>
        </w:rPr>
        <w:t xml:space="preserve">certificado de retención</w:t>
      </w:r>
      <w:r>
        <w:t xml:space="preserve"> </w:t>
      </w:r>
      <w:r>
        <w:t xml:space="preserve">en PDF junto con la orden. Los certificados se numeran solos por impuesto.</w:t>
      </w:r>
    </w:p>
    <w:p>
      <w:pPr>
        <w:pStyle w:val="FirstParagraph"/>
      </w:pPr>
      <w:r>
        <w:t xml:space="preserve">En</w:t>
      </w:r>
      <w:r>
        <w:t xml:space="preserve"> </w:t>
      </w:r>
      <w:r>
        <w:rPr>
          <w:b/>
          <w:bCs/>
        </w:rPr>
        <w:t xml:space="preserve">Compras → Retenciones</w:t>
      </w:r>
      <w:r>
        <w:t xml:space="preserve"> </w:t>
      </w:r>
      <w:r>
        <w:t xml:space="preserve">está el listado mensual de todo lo retenido, con el certificado de cada una, el total a depositar por impuesto,</w:t>
      </w:r>
      <w:r>
        <w:t xml:space="preserve"> </w:t>
      </w:r>
      <w:r>
        <w:rPr>
          <w:b/>
          <w:bCs/>
        </w:rPr>
        <w:t xml:space="preserve">Excel</w:t>
      </w:r>
      <w:r>
        <w:t xml:space="preserve"> </w:t>
      </w:r>
      <w:r>
        <w:t xml:space="preserve">e</w:t>
      </w:r>
      <w:r>
        <w:t xml:space="preserve"> </w:t>
      </w:r>
      <w:r>
        <w:rPr>
          <w:b/>
          <w:bCs/>
        </w:rPr>
        <w:t xml:space="preserve">Imprimir</w:t>
      </w:r>
      <w:r>
        <w:t xml:space="preserve">. Anular la orden anula también sus retenciones.</w:t>
      </w:r>
    </w:p>
    <w:p>
      <w:pPr>
        <w:pStyle w:val="BodyText"/>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 Las retenciones siempre se calculan en pesos.</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4"/>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4"/>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4"/>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4"/>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4"/>
        </w:numPr>
      </w:pPr>
      <w:r>
        <w:rPr>
          <w:b/>
          <w:bCs/>
        </w:rPr>
        <w:t xml:space="preserve">Importar Excel:</w:t>
      </w:r>
      <w:r>
        <w:t xml:space="preserve"> </w:t>
      </w:r>
      <w:r>
        <w:t xml:space="preserve">para cargar muchos de una. Detecta duplicados por CUIT (o por nombre).</w:t>
      </w:r>
    </w:p>
    <w:p>
      <w:pPr>
        <w:numPr>
          <w:ilvl w:val="0"/>
          <w:numId w:val="1014"/>
        </w:numPr>
      </w:pPr>
      <w:r>
        <w:rPr>
          <w:b/>
          <w:bCs/>
        </w:rPr>
        <w:t xml:space="preserve">Ficha del cliente:</w:t>
      </w:r>
      <w:r>
        <w:t xml:space="preserve"> </w:t>
      </w:r>
      <w:r>
        <w:t xml:space="preserve">tocá el nombre para ver su historial completo (presupuestos, ventas, facturas, pagos).</w:t>
      </w:r>
    </w:p>
    <w:p>
      <w:pPr>
        <w:numPr>
          <w:ilvl w:val="0"/>
          <w:numId w:val="1014"/>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5"/>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5"/>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5"/>
        </w:numPr>
      </w:pPr>
      <w:r>
        <w:rPr>
          <w:b/>
          <w:bCs/>
        </w:rPr>
        <w:t xml:space="preserve">Acciones:</w:t>
      </w:r>
      <w:r>
        <w:t xml:space="preserve"> </w:t>
      </w:r>
      <w:r>
        <w:rPr>
          <w:b/>
          <w:bCs/>
        </w:rPr>
        <w:t xml:space="preserve">Ver CAE</w:t>
      </w:r>
      <w:r>
        <w:t xml:space="preserve"> </w:t>
      </w:r>
      <w:r>
        <w:t xml:space="preserve">(muestra número, CAE y vencimiento, y ofrece abrir la página de</w:t>
      </w:r>
      <w:r>
        <w:t xml:space="preserve"> </w:t>
      </w:r>
      <w:r>
        <w:rPr>
          <w:b/>
          <w:bCs/>
        </w:rPr>
        <w:t xml:space="preserve">Constatación de Comprobantes</w:t>
      </w:r>
      <w:r>
        <w:t xml:space="preserve"> </w:t>
      </w:r>
      <w:r>
        <w:t xml:space="preserve">de ARCA con los datos precargados: escribís el captcha y ARCA confirma que el comprobante está autorizado) y</w:t>
      </w:r>
      <w:r>
        <w:t xml:space="preserve"> </w:t>
      </w:r>
      <w:r>
        <w:rPr>
          <w:b/>
          <w:bCs/>
        </w:rPr>
        <w:t xml:space="preserve">NC/ND</w:t>
      </w:r>
      <w:r>
        <w:t xml:space="preserve"> </w:t>
      </w:r>
      <w:r>
        <w:t xml:space="preserve">sobre cualquier factura. El ERP todavía</w:t>
      </w:r>
      <w:r>
        <w:t xml:space="preserve"> </w:t>
      </w:r>
      <w:r>
        <w:rPr>
          <w:b/>
          <w:bCs/>
        </w:rPr>
        <w:t xml:space="preserve">no arma el PDF de la factura</w:t>
      </w:r>
      <w:r>
        <w:t xml:space="preserve"> </w:t>
      </w:r>
      <w:r>
        <w:t xml:space="preserve">para mandar al cliente.</w:t>
      </w:r>
    </w:p>
    <w:p>
      <w:pPr>
        <w:pStyle w:val="Compact"/>
        <w:numPr>
          <w:ilvl w:val="0"/>
          <w:numId w:val="1015"/>
        </w:numPr>
      </w:pPr>
      <w:r>
        <w:rPr>
          <w:b/>
          <w:bCs/>
        </w:rPr>
        <w:t xml:space="preserve">Si ARCA rechaza un comprobante</w:t>
      </w:r>
      <w:r>
        <w:t xml:space="preserve">, el cartel rojo muestra el</w:t>
      </w:r>
      <w:r>
        <w:t xml:space="preserve"> </w:t>
      </w:r>
      <w:r>
        <w:rPr>
          <w:b/>
          <w:bCs/>
        </w:rPr>
        <w:t xml:space="preserve">código y el motivo</w:t>
      </w:r>
      <w:r>
        <w:t xml:space="preserve"> </w:t>
      </w:r>
      <w:r>
        <w:t xml:space="preserve">que devolvió ARCA (ej.:</w:t>
      </w:r>
      <w:r>
        <w:t xml:space="preserve"> </w:t>
      </w:r>
      <w:r>
        <w:rPr>
          <w:rStyle w:val="VerbatimChar"/>
        </w:rPr>
        <w:t xml:space="preserve">[10247] La CUIT receptora informada está inactiva o es inválida</w:t>
      </w:r>
      <w:r>
        <w:t xml:space="preserve">). Corregí lo que indica (CUIT o condición fiscal del cliente en su ficha, importes) y volvé a facturar: un rechazo no consume número ni CAE.</w:t>
      </w:r>
    </w:p>
    <w:p>
      <w:pPr>
        <w:pStyle w:val="Compact"/>
        <w:numPr>
          <w:ilvl w:val="0"/>
          <w:numId w:val="1015"/>
        </w:numPr>
      </w:pPr>
      <w:r>
        <w:rPr>
          <w:b/>
          <w:bCs/>
        </w:rPr>
        <w:t xml:space="preserve">Dónde ver una factura en ARCA:</w:t>
      </w:r>
      <w:r>
        <w:t xml:space="preserve"> </w:t>
      </w:r>
      <w:r>
        <w:t xml:space="preserve">las emitidas por el ERP</w:t>
      </w:r>
      <w:r>
        <w:t xml:space="preserve"> </w:t>
      </w:r>
      <w:r>
        <w:rPr>
          <w:b/>
          <w:bCs/>
        </w:rPr>
        <w:t xml:space="preserve">no</w:t>
      </w:r>
      <w:r>
        <w:t xml:space="preserve"> </w:t>
      </w:r>
      <w:r>
        <w:t xml:space="preserve">aparecen en</w:t>
      </w:r>
      <w:r>
        <w:t xml:space="preserve"> </w:t>
      </w:r>
      <w:r>
        <w:t xml:space="preserve">“Comprobantes en línea”</w:t>
      </w:r>
      <w:r>
        <w:t xml:space="preserve">; aparecen en</w:t>
      </w:r>
      <w:r>
        <w:t xml:space="preserve"> </w:t>
      </w:r>
      <w:r>
        <w:rPr>
          <w:b/>
          <w:bCs/>
        </w:rPr>
        <w:t xml:space="preserve">Mis Comprobantes → Emitidos</w:t>
      </w:r>
      <w:r>
        <w:t xml:space="preserve"> </w:t>
      </w:r>
      <w:r>
        <w:t xml:space="preserve">(punto de venta 4), normalmente</w:t>
      </w:r>
      <w:r>
        <w:t xml:space="preserve"> </w:t>
      </w:r>
      <w:r>
        <w:rPr>
          <w:b/>
          <w:bCs/>
        </w:rPr>
        <w:t xml:space="preserve">al día siguiente</w:t>
      </w:r>
      <w:r>
        <w:t xml:space="preserve">.</w:t>
      </w:r>
    </w:p>
    <w:p>
      <w:pPr>
        <w:pStyle w:val="Compact"/>
        <w:numPr>
          <w:ilvl w:val="0"/>
          <w:numId w:val="1015"/>
        </w:numPr>
      </w:pPr>
      <w:r>
        <w:rPr>
          <w:b/>
          <w:bCs/>
        </w:rPr>
        <w:t xml:space="preserve">Excel:</w:t>
      </w:r>
      <w:r>
        <w:t xml:space="preserve"> </w:t>
      </w:r>
      <w:r>
        <w:t xml:space="preserve">exporta el listado filtrado. Para ordenar, click en el encabezado de la columna.</w:t>
      </w:r>
    </w:p>
    <w:p>
      <w:pPr>
        <w:pStyle w:val="Compact"/>
        <w:numPr>
          <w:ilvl w:val="0"/>
          <w:numId w:val="1015"/>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p>
      <w:pPr>
        <w:pStyle w:val="FirstParagraph"/>
      </w:pPr>
      <w:r>
        <w:rPr>
          <w:b/>
          <w:bCs/>
        </w:rPr>
        <w:t xml:space="preserve">Imprimir facturas, notas de crédito y notas de débito.</w:t>
      </w:r>
      <w:r>
        <w:t xml:space="preserve"> </w:t>
      </w:r>
      <w:r>
        <w:t xml:space="preserve">Cada fila tiene el botón</w:t>
      </w:r>
      <w:r>
        <w:t xml:space="preserve"> </w:t>
      </w:r>
      <w:r>
        <w:rPr>
          <w:b/>
          <w:bCs/>
        </w:rPr>
        <w:t xml:space="preserve">PDF</w:t>
      </w:r>
      <w:r>
        <w:t xml:space="preserve">: baja el comprobante listo para imprimir o mandar por mail, con la letra y el código, los datos de Vitalmet y del cliente, el detalle, los totales (en las A con el IVA discriminado por alícuota; en las B a precio final con el</w:t>
      </w:r>
      <w:r>
        <w:t xml:space="preserve"> </w:t>
      </w:r>
      <w:r>
        <w:t xml:space="preserve">“IVA contenido”</w:t>
      </w:r>
      <w:r>
        <w:t xml:space="preserve"> </w:t>
      </w:r>
      <w:r>
        <w:t xml:space="preserve">de la Ley 27.743), el</w:t>
      </w:r>
      <w:r>
        <w:t xml:space="preserve"> </w:t>
      </w:r>
      <w:r>
        <w:rPr>
          <w:b/>
          <w:bCs/>
        </w:rPr>
        <w:t xml:space="preserve">CAE con su vencimiento</w:t>
      </w:r>
      <w:r>
        <w:t xml:space="preserve"> </w:t>
      </w:r>
      <w:r>
        <w:t xml:space="preserve">y el</w:t>
      </w:r>
      <w:r>
        <w:t xml:space="preserve"> </w:t>
      </w:r>
      <w:r>
        <w:rPr>
          <w:b/>
          <w:bCs/>
        </w:rPr>
        <w:t xml:space="preserve">código QR</w:t>
      </w:r>
      <w:r>
        <w:t xml:space="preserve"> </w:t>
      </w:r>
      <w:r>
        <w:t xml:space="preserve">de ARCA. Las NC y ND muestran además el comprobante o período al que están asociadas. El botón</w:t>
      </w:r>
      <w:r>
        <w:t xml:space="preserve"> </w:t>
      </w:r>
      <w:r>
        <w:rPr>
          <w:b/>
          <w:bCs/>
        </w:rPr>
        <w:t xml:space="preserve">PDF</w:t>
      </w:r>
      <w:r>
        <w:t xml:space="preserve"> </w:t>
      </w:r>
      <w:r>
        <w:t xml:space="preserve">de la barra arma</w:t>
      </w:r>
      <w:r>
        <w:t xml:space="preserve"> </w:t>
      </w:r>
      <w:r>
        <w:rPr>
          <w:b/>
          <w:bCs/>
        </w:rPr>
        <w:t xml:space="preserve">un solo archivo con todos los comprobantes filtrados</w:t>
      </w:r>
      <w:r>
        <w:t xml:space="preserve">, uno por hoja y en orden cronológico (hasta 200): filtrá por cliente, tipo o fechas y sacás, por ejemplo, todas las facturas del mes. En</w:t>
      </w:r>
      <w:r>
        <w:t xml:space="preserve"> </w:t>
      </w:r>
      <w:r>
        <w:rPr>
          <w:b/>
          <w:bCs/>
        </w:rPr>
        <w:t xml:space="preserve">Ventas</w:t>
      </w:r>
      <w:r>
        <w:t xml:space="preserve">, las ventas facturadas tienen el botón</w:t>
      </w:r>
      <w:r>
        <w:t xml:space="preserve"> </w:t>
      </w:r>
      <w:r>
        <w:rPr>
          <w:b/>
          <w:bCs/>
        </w:rPr>
        <w:t xml:space="preserve">Factura</w:t>
      </w:r>
      <w:r>
        <w:t xml:space="preserve"> </w:t>
      </w:r>
      <w:r>
        <w:t xml:space="preserve">que baja el mismo PDF.</w:t>
      </w:r>
    </w:p>
    <w:p>
      <w:pPr>
        <w:pStyle w:val="Compact"/>
        <w:numPr>
          <w:ilvl w:val="0"/>
          <w:numId w:val="1016"/>
        </w:numPr>
      </w:pPr>
      <w:r>
        <w:t xml:space="preserve">El detalle impreso es el que se informó a ARCA al pedir el CAE. Si un comprobante viejo no lo tiene guardado, el PDF sale igual con los importes autorizados y un detalle resumido, y el sistema te avisa.</w:t>
      </w:r>
    </w:p>
    <w:p>
      <w:pPr>
        <w:pStyle w:val="Compact"/>
        <w:numPr>
          <w:ilvl w:val="0"/>
          <w:numId w:val="1016"/>
        </w:numPr>
      </w:pPr>
      <w:r>
        <w:rPr>
          <w:b/>
          <w:bCs/>
        </w:rPr>
        <w:t xml:space="preserve">Ingresos Brutos</w:t>
      </w:r>
      <w:r>
        <w:t xml:space="preserve"> </w:t>
      </w:r>
      <w:r>
        <w:t xml:space="preserve">e</w:t>
      </w:r>
      <w:r>
        <w:t xml:space="preserve"> </w:t>
      </w:r>
      <w:r>
        <w:rPr>
          <w:b/>
          <w:bCs/>
        </w:rPr>
        <w:t xml:space="preserve">inicio de actividades</w:t>
      </w:r>
      <w:r>
        <w:t xml:space="preserve"> </w:t>
      </w:r>
      <w:r>
        <w:t xml:space="preserve">del emisor se cargan una sola vez en</w:t>
      </w:r>
      <w:r>
        <w:t xml:space="preserve"> </w:t>
      </w:r>
      <w:r>
        <w:rPr>
          <w:b/>
          <w:bCs/>
        </w:rPr>
        <w:t xml:space="preserve">Configuración → Imputación contable → Datos del emisor en facturas, NC y ND</w:t>
      </w:r>
      <w:r>
        <w:t xml:space="preserve">. Mientras falten, salen con una raya y el sistema te lo recuerda al imprimir.</w:t>
      </w:r>
    </w:p>
    <w:p>
      <w:pPr>
        <w:pStyle w:val="Compact"/>
        <w:numPr>
          <w:ilvl w:val="0"/>
          <w:numId w:val="1016"/>
        </w:numPr>
      </w:pPr>
      <w:r>
        <w:t xml:space="preserve">Los comprobantes emitidos en homologación (pruebas) salen con la marca</w:t>
      </w:r>
      <w:r>
        <w:t xml:space="preserve"> </w:t>
      </w:r>
      <w:r>
        <w:rPr>
          <w:b/>
          <w:bCs/>
        </w:rPr>
        <w:t xml:space="preserve">SIN VALIDEZ FISCAL</w:t>
      </w:r>
      <w:r>
        <w:t xml:space="preserve">.</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7"/>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7"/>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7"/>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7"/>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8"/>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8"/>
        </w:numPr>
      </w:pPr>
      <w:r>
        <w:t xml:space="preserve">Tocá</w:t>
      </w:r>
      <w:r>
        <w:t xml:space="preserve"> </w:t>
      </w:r>
      <w:r>
        <w:rPr>
          <w:b/>
          <w:bCs/>
        </w:rPr>
        <w:t xml:space="preserve">↻ Recalcular</w:t>
      </w:r>
      <w:r>
        <w:t xml:space="preserve">.</w:t>
      </w:r>
    </w:p>
    <w:p>
      <w:pPr>
        <w:pStyle w:val="Compact"/>
        <w:numPr>
          <w:ilvl w:val="0"/>
          <w:numId w:val="1018"/>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9"/>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9"/>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9"/>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9"/>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68"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20"/>
        </w:numPr>
      </w:pPr>
      <w:r>
        <w:rPr>
          <w:b/>
          <w:bCs/>
        </w:rPr>
        <w:t xml:space="preserve">Expandir / Colapsar</w:t>
      </w:r>
      <w:r>
        <w:t xml:space="preserve"> </w:t>
      </w:r>
      <w:r>
        <w:t xml:space="preserve">los grupos.</w:t>
      </w:r>
    </w:p>
    <w:p>
      <w:pPr>
        <w:pStyle w:val="Compact"/>
        <w:numPr>
          <w:ilvl w:val="0"/>
          <w:numId w:val="1020"/>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20"/>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21"/>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21"/>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21"/>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p>
      <w:pPr>
        <w:pStyle w:val="BodyText"/>
      </w:pPr>
      <w:r>
        <w:rPr>
          <w:b/>
          <w:bCs/>
        </w:rPr>
        <w:t xml:space="preserve">Recibo de cobranza:</w:t>
      </w:r>
      <w:r>
        <w:t xml:space="preserve"> </w:t>
      </w:r>
      <w:r>
        <w:t xml:space="preserve">al registrar un cobro el sistema ofrece el</w:t>
      </w:r>
      <w:r>
        <w:t xml:space="preserve"> </w:t>
      </w:r>
      <w:r>
        <w:rPr>
          <w:b/>
          <w:bCs/>
        </w:rPr>
        <w:t xml:space="preserve">recibo en PDF</w:t>
      </w:r>
      <w:r>
        <w:t xml:space="preserve"> </w:t>
      </w:r>
      <w:r>
        <w:t xml:space="preserve">para el cliente (número REC, valores recibidos incluyendo retenciones, total). Después queda en la lista de movimientos, botón</w:t>
      </w:r>
      <w:r>
        <w:t xml:space="preserve"> </w:t>
      </w:r>
      <w:r>
        <w:rPr>
          <w:b/>
          <w:bCs/>
        </w:rPr>
        <w:t xml:space="preserve">Recibo</w:t>
      </w:r>
      <w:r>
        <w:t xml:space="preserve">.</w:t>
      </w:r>
    </w:p>
    <w:p>
      <w:pPr>
        <w:pStyle w:val="BodyText"/>
      </w:pPr>
      <w:r>
        <w:rPr>
          <w:b/>
          <w:bCs/>
        </w:rPr>
        <w:t xml:space="preserve">Movimientos:</w:t>
      </w:r>
      <w:r>
        <w:t xml:space="preserve"> </w:t>
      </w:r>
      <w:r>
        <w:t xml:space="preserve">la lista tiene buscador, filtro cobros/pagos y fechas. Cada fila lleva al</w:t>
      </w:r>
      <w:r>
        <w:t xml:space="preserve"> </w:t>
      </w:r>
      <w:r>
        <w:rPr>
          <w:b/>
          <w:bCs/>
        </w:rPr>
        <w:t xml:space="preserve">asiento</w:t>
      </w:r>
      <w:r>
        <w:t xml:space="preserve"> </w:t>
      </w:r>
      <w:r>
        <w:t xml:space="preserve">(#N) y, si el pago es una orden de pago, a la</w:t>
      </w:r>
      <w:r>
        <w:t xml:space="preserve"> </w:t>
      </w:r>
      <w:r>
        <w:rPr>
          <w:b/>
          <w:bCs/>
        </w:rPr>
        <w:t xml:space="preserve">OP</w:t>
      </w:r>
      <w:r>
        <w:t xml:space="preserve"> </w:t>
      </w:r>
      <w:r>
        <w:t xml:space="preserve">y su PDF. Los anulados quedan a la vista, marcados.</w:t>
      </w:r>
    </w:p>
    <w:p>
      <w:pPr>
        <w:pStyle w:val="BodyText"/>
      </w:pPr>
      <w:r>
        <w:rPr>
          <w:b/>
          <w:bCs/>
        </w:rPr>
        <w:t xml:space="preserve">Retenciones sufridas:</w:t>
      </w:r>
      <w:r>
        <w:t xml:space="preserve"> </w:t>
      </w:r>
      <w:r>
        <w:t xml:space="preserve">al pie,</w:t>
      </w:r>
      <w:r>
        <w:t xml:space="preserve"> </w:t>
      </w:r>
      <w:r>
        <w:rPr>
          <w:b/>
          <w:bCs/>
        </w:rPr>
        <w:t xml:space="preserve">Ver certificados del mes</w:t>
      </w:r>
      <w:r>
        <w:t xml:space="preserve"> </w:t>
      </w:r>
      <w:r>
        <w:t xml:space="preserve">lista las retenciones que te practicaron los clientes (las de cobros anulados aparecen tachadas y no suman).</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r>
        <w:t xml:space="preserve"> </w:t>
      </w:r>
      <w:r>
        <w:rPr>
          <w:b/>
          <w:bCs/>
        </w:rPr>
        <w:t xml:space="preserve">Todas se pueden imprimir:</w:t>
      </w:r>
    </w:p>
    <w:p>
      <w:pPr>
        <w:pStyle w:val="Compact"/>
        <w:numPr>
          <w:ilvl w:val="0"/>
          <w:numId w:val="1022"/>
        </w:numPr>
      </w:pPr>
      <w:r>
        <w:rPr>
          <w:b/>
          <w:bCs/>
        </w:rPr>
        <w:t xml:space="preserve">Libro diario</w:t>
      </w:r>
      <w:r>
        <w:t xml:space="preserve"> </w:t>
      </w:r>
      <w:r>
        <w:t xml:space="preserve">y</w:t>
      </w:r>
      <w:r>
        <w:t xml:space="preserve"> </w:t>
      </w:r>
      <w:r>
        <w:rPr>
          <w:b/>
          <w:bCs/>
        </w:rPr>
        <w:t xml:space="preserve">Libro mayor</w:t>
      </w:r>
      <w:r>
        <w:t xml:space="preserve"> </w:t>
      </w:r>
      <w:r>
        <w:t xml:space="preserve">tienen el botón</w:t>
      </w:r>
      <w:r>
        <w:t xml:space="preserve"> </w:t>
      </w:r>
      <w:r>
        <w:rPr>
          <w:b/>
          <w:bCs/>
        </w:rPr>
        <w:t xml:space="preserve">Imprimir / PDF</w:t>
      </w:r>
      <w:r>
        <w:t xml:space="preserve">: arma el libro con razón social y CUIT en cada hoja,</w:t>
      </w:r>
      <w:r>
        <w:t xml:space="preserve"> </w:t>
      </w:r>
      <w:r>
        <w:rPr>
          <w:b/>
          <w:bCs/>
        </w:rPr>
        <w:t xml:space="preserve">hojas numeradas</w:t>
      </w:r>
      <w:r>
        <w:t xml:space="preserve"> </w:t>
      </w:r>
      <w:r>
        <w:t xml:space="preserve">y</w:t>
      </w:r>
      <w:r>
        <w:t xml:space="preserve"> </w:t>
      </w:r>
      <w:r>
        <w:rPr>
          <w:b/>
          <w:bCs/>
        </w:rPr>
        <w:t xml:space="preserve">transporte</w:t>
      </w:r>
      <w:r>
        <w:t xml:space="preserve"> </w:t>
      </w:r>
      <w:r>
        <w:t xml:space="preserve">de debe y haber de una hoja a la siguiente. El mayor imprime la cuenta elegida (arrancando del saldo anterior si pusiste</w:t>
      </w:r>
      <w:r>
        <w:t xml:space="preserve"> </w:t>
      </w:r>
      <w:r>
        <w:t xml:space="preserve">“Desde”</w:t>
      </w:r>
      <w:r>
        <w:t xml:space="preserve">), o todas las cuentas con movimientos si no elegiste ninguna.</w:t>
      </w:r>
      <w:r>
        <w:t xml:space="preserve"> </w:t>
      </w:r>
      <w:r>
        <w:rPr>
          <w:b/>
          <w:bCs/>
        </w:rPr>
        <w:t xml:space="preserve">Excel (CSV)</w:t>
      </w:r>
      <w:r>
        <w:t xml:space="preserve"> </w:t>
      </w:r>
      <w:r>
        <w:t xml:space="preserve">baja lo mismo en planilla.</w:t>
      </w:r>
    </w:p>
    <w:p>
      <w:pPr>
        <w:pStyle w:val="Compact"/>
        <w:numPr>
          <w:ilvl w:val="0"/>
          <w:numId w:val="1022"/>
        </w:numPr>
      </w:pPr>
      <w:r>
        <w:t xml:space="preserve">El resto de las pantallas (balances, estado de resultados, ratios, conciliación, cheques, cobros y pagos, cuenta corriente, plan de cuentas, stock, etc.) tienen arriba</w:t>
      </w:r>
      <w:r>
        <w:t xml:space="preserve"> </w:t>
      </w:r>
      <w:r>
        <w:rPr>
          <w:b/>
          <w:bCs/>
        </w:rPr>
        <w:t xml:space="preserve">Imprimir / PDF</w:t>
      </w:r>
      <w:r>
        <w:t xml:space="preserve"> </w:t>
      </w:r>
      <w:r>
        <w:t xml:space="preserve">y</w:t>
      </w:r>
      <w:r>
        <w:t xml:space="preserve"> </w:t>
      </w:r>
      <w:r>
        <w:rPr>
          <w:b/>
          <w:bCs/>
        </w:rPr>
        <w:t xml:space="preserve">Excel (CSV)</w:t>
      </w:r>
      <w:r>
        <w:t xml:space="preserve">, que sacan lo que estás viendo con los filtros aplicados.</w:t>
      </w:r>
    </w:p>
    <w:p>
      <w:pPr>
        <w:pStyle w:val="Compact"/>
        <w:numPr>
          <w:ilvl w:val="0"/>
          <w:numId w:val="1022"/>
        </w:numPr>
      </w:pPr>
      <w:r>
        <w:t xml:space="preserve">Los</w:t>
      </w:r>
      <w:r>
        <w:t xml:space="preserve"> </w:t>
      </w:r>
      <w:r>
        <w:rPr>
          <w:b/>
          <w:bCs/>
        </w:rPr>
        <w:t xml:space="preserve">libros de IVA ventas e IVA compras</w:t>
      </w:r>
      <w:r>
        <w:t xml:space="preserve"> </w:t>
      </w:r>
      <w:r>
        <w:t xml:space="preserve">se imprimen desde</w:t>
      </w:r>
      <w:r>
        <w:t xml:space="preserve"> </w:t>
      </w:r>
      <w:r>
        <w:rPr>
          <w:b/>
          <w:bCs/>
        </w:rPr>
        <w:t xml:space="preserve">Exportables → PDF para imprimir</w:t>
      </w:r>
      <w:r>
        <w:t xml:space="preserve"> </w:t>
      </w:r>
      <w:r>
        <w:t xml:space="preserve">(apaisado, compras con el desglose por alícuota y percepciones, con transporte y totales).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3"/>
        </w:numPr>
      </w:pPr>
      <w:r>
        <w:t xml:space="preserve">Definí las</w:t>
      </w:r>
      <w:r>
        <w:t xml:space="preserve"> </w:t>
      </w:r>
      <w:r>
        <w:rPr>
          <w:b/>
          <w:bCs/>
        </w:rPr>
        <w:t xml:space="preserve">cuentas bancarias</w:t>
      </w:r>
      <w:r>
        <w:t xml:space="preserve">.</w:t>
      </w:r>
    </w:p>
    <w:p>
      <w:pPr>
        <w:pStyle w:val="Compact"/>
        <w:numPr>
          <w:ilvl w:val="0"/>
          <w:numId w:val="1023"/>
        </w:numPr>
      </w:pPr>
      <w:r>
        <w:rPr>
          <w:b/>
          <w:bCs/>
        </w:rPr>
        <w:t xml:space="preserve">Importá el extracto</w:t>
      </w:r>
      <w:r>
        <w:t xml:space="preserve"> </w:t>
      </w:r>
      <w:r>
        <w:t xml:space="preserve">del banco (CSV/XLS).</w:t>
      </w:r>
    </w:p>
    <w:p>
      <w:pPr>
        <w:pStyle w:val="Compact"/>
        <w:numPr>
          <w:ilvl w:val="0"/>
          <w:numId w:val="1023"/>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4"/>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4"/>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4"/>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4"/>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4"/>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4"/>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4"/>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5"/>
        </w:numPr>
      </w:pPr>
      <w:r>
        <w:rPr>
          <w:b/>
          <w:bCs/>
        </w:rPr>
        <w:t xml:space="preserve">Impuesto a las ganancias:</w:t>
      </w:r>
      <w:r>
        <w:t xml:space="preserve"> </w:t>
      </w:r>
      <w:r>
        <w:t xml:space="preserve">el importe determinado que te pasa la contadora.</w:t>
      </w:r>
    </w:p>
    <w:p>
      <w:pPr>
        <w:pStyle w:val="Compact"/>
        <w:numPr>
          <w:ilvl w:val="1"/>
          <w:numId w:val="1025"/>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5"/>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5"/>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5"/>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4"/>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4"/>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4"/>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8"/>
    <w:bookmarkStart w:id="67"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59"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6"/>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6"/>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 El</w:t>
      </w:r>
      <w:r>
        <w:t xml:space="preserve"> </w:t>
      </w:r>
      <w:r>
        <w:rPr>
          <w:b/>
          <w:bCs/>
        </w:rPr>
        <w:t xml:space="preserve">aporte solidario</w:t>
      </w:r>
      <w:r>
        <w:t xml:space="preserve"> </w:t>
      </w:r>
      <w:r>
        <w:t xml:space="preserve">de los no afiliados tiene tope legal del 2 %: si cargás más, el campo te avisa en rojo y la liquidación muestra la alerta. La cuota sindical de los afiliados no tiene ese tope.</w:t>
      </w:r>
    </w:p>
    <w:p>
      <w:pPr>
        <w:pStyle w:val="Compact"/>
        <w:numPr>
          <w:ilvl w:val="0"/>
          <w:numId w:val="1026"/>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6"/>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59"/>
    <w:bookmarkStart w:id="60"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7"/>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7"/>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 Abajo, tres datos de la Ley 27.802 que se dejan vacíos si no aplican:</w:t>
      </w:r>
      <w:r>
        <w:t xml:space="preserve"> </w:t>
      </w:r>
      <w:r>
        <w:rPr>
          <w:b/>
          <w:bCs/>
        </w:rPr>
        <w:t xml:space="preserve">alta bajo RIFL</w:t>
      </w:r>
      <w:r>
        <w:t xml:space="preserve"> </w:t>
      </w:r>
      <w:r>
        <w:t xml:space="preserve">(contribuciones reducidas por 48 meses para altas que encuadran en el régimen de formalización; es optativo y se ejerce en ARCA al dar el alta),</w:t>
      </w:r>
      <w:r>
        <w:t xml:space="preserve"> </w:t>
      </w:r>
      <w:r>
        <w:rPr>
          <w:b/>
          <w:bCs/>
        </w:rPr>
        <w:t xml:space="preserve">vencimiento del contrato a plazo fijo</w:t>
      </w:r>
      <w:r>
        <w:t xml:space="preserve"> </w:t>
      </w:r>
      <w:r>
        <w:t xml:space="preserve">y</w:t>
      </w:r>
      <w:r>
        <w:t xml:space="preserve"> </w:t>
      </w:r>
      <w:r>
        <w:rPr>
          <w:b/>
          <w:bCs/>
        </w:rPr>
        <w:t xml:space="preserve">banco de horas</w:t>
      </w:r>
      <w:r>
        <w:t xml:space="preserve"> </w:t>
      </w:r>
      <w:r>
        <w:t xml:space="preserve">(tilde + fecha del acuerdo escrito).</w:t>
      </w:r>
    </w:p>
    <w:p>
      <w:pPr>
        <w:pStyle w:val="Compact"/>
        <w:numPr>
          <w:ilvl w:val="0"/>
          <w:numId w:val="1027"/>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7"/>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7"/>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28"/>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28"/>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28"/>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28"/>
        </w:numPr>
      </w:pPr>
      <w:r>
        <w:rPr>
          <w:b/>
          <w:bCs/>
        </w:rPr>
        <w:t xml:space="preserve">Preaviso:</w:t>
      </w:r>
      <w:r>
        <w:t xml:space="preserve"> </w:t>
      </w:r>
      <w:r>
        <w:t xml:space="preserve">un mes hasta 5 años de antigüedad, dos meses si los supera.</w:t>
      </w:r>
    </w:p>
    <w:p>
      <w:pPr>
        <w:pStyle w:val="Compact"/>
        <w:numPr>
          <w:ilvl w:val="0"/>
          <w:numId w:val="1028"/>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28"/>
        </w:numPr>
      </w:pPr>
      <w:r>
        <w:rPr>
          <w:b/>
          <w:bCs/>
        </w:rPr>
        <w:t xml:space="preserve">Fallecimiento:</w:t>
      </w:r>
      <w:r>
        <w:t xml:space="preserve"> </w:t>
      </w:r>
      <w:r>
        <w:t xml:space="preserve">la mitad de la indemnización por antigüedad, sin preaviso ni integración.</w:t>
      </w:r>
    </w:p>
    <w:p>
      <w:pPr>
        <w:pStyle w:val="Compact"/>
        <w:numPr>
          <w:ilvl w:val="0"/>
          <w:numId w:val="1028"/>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la</w:t>
      </w:r>
      <w:r>
        <w:t xml:space="preserve"> </w:t>
      </w:r>
      <w:r>
        <w:rPr>
          <w:b/>
          <w:bCs/>
        </w:rPr>
        <w:t xml:space="preserve">Fecha de reingreso</w:t>
      </w:r>
      <w:r>
        <w:t xml:space="preserve">. El sistema descuenta lo cobrado, pero nunca deja menos de lo que corresponde por el último período trabajado.</w:t>
      </w:r>
    </w:p>
    <w:p>
      <w:pPr>
        <w:pStyle w:val="Compact"/>
        <w:numPr>
          <w:ilvl w:val="0"/>
          <w:numId w:val="1028"/>
        </w:numPr>
      </w:pPr>
      <w:r>
        <w:rPr>
          <w:b/>
          <w:bCs/>
        </w:rPr>
        <w:t xml:space="preserve">Contrato a plazo fijo:</w:t>
      </w:r>
      <w:r>
        <w:t xml:space="preserve"> </w:t>
      </w:r>
      <w:r>
        <w:t xml:space="preserve">si vence el plazo y el contrato duró un año o más, corresponde la mitad de la indemnización (causa</w:t>
      </w:r>
      <w:r>
        <w:t xml:space="preserve"> </w:t>
      </w:r>
      <w:r>
        <w:t xml:space="preserve">“Fin de contrato”</w:t>
      </w:r>
      <w:r>
        <w:t xml:space="preserve">). Si lo despedís antes del vencimiento, elegí</w:t>
      </w:r>
      <w:r>
        <w:t xml:space="preserve"> </w:t>
      </w:r>
      <w:r>
        <w:t xml:space="preserve">“Despido sin causa”</w:t>
      </w:r>
      <w:r>
        <w:t xml:space="preserve">: con la fecha de vencimiento cargada, la antigüedad se cuenta hasta ese día.</w:t>
      </w:r>
    </w:p>
    <w:p>
      <w:pPr>
        <w:pStyle w:val="Compact"/>
        <w:numPr>
          <w:ilvl w:val="0"/>
          <w:numId w:val="1028"/>
        </w:numPr>
      </w:pPr>
      <w:r>
        <w:rPr>
          <w:b/>
          <w:bCs/>
        </w:rPr>
        <w:t xml:space="preserve">Base a mano:</w:t>
      </w:r>
      <w:r>
        <w:t xml:space="preserve"> </w:t>
      </w:r>
      <w:r>
        <w:t xml:space="preserve">si el empleado tiene sueldos liquidados fuera del sistema durante el último año, el ERP no conoce esa historia y usa el sueldo vigente. En ese caso cargá vos la mejor remuneración normal y habitual en</w:t>
      </w:r>
      <w:r>
        <w:t xml:space="preserve"> </w:t>
      </w:r>
      <w:r>
        <w:rPr>
          <w:b/>
          <w:bCs/>
        </w:rPr>
        <w:t xml:space="preserve">Base indemnizatoria a mano</w:t>
      </w:r>
      <w:r>
        <w:t xml:space="preserve">.</w:t>
      </w:r>
    </w:p>
    <w:p>
      <w:pPr>
        <w:pStyle w:val="Compact"/>
        <w:numPr>
          <w:ilvl w:val="0"/>
          <w:numId w:val="1028"/>
        </w:numPr>
      </w:pPr>
      <w:r>
        <w:rPr>
          <w:b/>
          <w:bCs/>
        </w:rPr>
        <w:t xml:space="preserve">Saldo de banco de horas:</w:t>
      </w:r>
      <w:r>
        <w:t xml:space="preserve"> </w:t>
      </w:r>
      <w:r>
        <w:t xml:space="preserve">si al egreso le quedan horas a favor, el preview lo avisa para que las liquides o compenses antes.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0"/>
    <w:bookmarkStart w:id="61"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p>
      <w:pPr>
        <w:pStyle w:val="BodyText"/>
      </w:pPr>
      <w:r>
        <w:rPr>
          <w:b/>
          <w:bCs/>
        </w:rPr>
        <w:t xml:space="preserve">Banco de horas:</w:t>
      </w:r>
      <w:r>
        <w:t xml:space="preserve"> </w:t>
      </w:r>
      <w:r>
        <w:t xml:space="preserve">para los empleados con acuerdo escrito cargado en el legajo se habilitan dos columnas. En</w:t>
      </w:r>
      <w:r>
        <w:t xml:space="preserve"> </w:t>
      </w:r>
      <w:r>
        <w:rPr>
          <w:b/>
          <w:bCs/>
        </w:rPr>
        <w:t xml:space="preserve">Banco +</w:t>
      </w:r>
      <w:r>
        <w:t xml:space="preserve"> </w:t>
      </w:r>
      <w:r>
        <w:t xml:space="preserve">van las horas extras trabajadas que se guardan en lugar de pagarse. En</w:t>
      </w:r>
      <w:r>
        <w:t xml:space="preserve"> </w:t>
      </w:r>
      <w:r>
        <w:rPr>
          <w:b/>
          <w:bCs/>
        </w:rPr>
        <w:t xml:space="preserve">Banco −</w:t>
      </w:r>
      <w:r>
        <w:t xml:space="preserve"> </w:t>
      </w:r>
      <w:r>
        <w:t xml:space="preserve">van las horas libres que se toma: al jornal se le pagan como horas normales; al mensualizado no le cambia el sueldo. Pasando el mouse por la celda ves el saldo. Si cargás horas de banco a alguien sin acuerdo, la liquidación avisa y no las compensa. La equivalencia es hora por hora; si el acuerdo dice otra cosa, cargá las horas ya convertidas.</w:t>
      </w:r>
    </w:p>
    <w:p>
      <w:pPr>
        <w:pStyle w:val="BodyText"/>
      </w:pPr>
      <w:r>
        <w:rPr>
          <w:b/>
          <w:bCs/>
        </w:rPr>
        <w:t xml:space="preserve">🏖 Traer vacaciones programadas</w:t>
      </w:r>
      <w:r>
        <w:t xml:space="preserve"> </w:t>
      </w:r>
      <w:r>
        <w:t xml:space="preserve">completa la columna</w:t>
      </w:r>
      <w:r>
        <w:t xml:space="preserve"> </w:t>
      </w:r>
      <w:r>
        <w:t xml:space="preserve">“Vacaciones (d)”</w:t>
      </w:r>
      <w:r>
        <w:t xml:space="preserve"> </w:t>
      </w:r>
      <w:r>
        <w:t xml:space="preserve">con los días cargados en Sueldos → Vacaciones que caen en el período. No pisa lo que ya escribiste.</w:t>
      </w:r>
    </w:p>
    <w:bookmarkEnd w:id="61"/>
    <w:bookmarkStart w:id="62" w:name="vacaciones-sueldos-vacaciones"/>
    <w:p>
      <w:pPr>
        <w:pStyle w:val="Heading4"/>
      </w:pPr>
      <w:r>
        <w:t xml:space="preserve">Vacaciones (Sueldos →</w:t>
      </w:r>
      <w:r>
        <w:t xml:space="preserve"> </w:t>
      </w:r>
      <w:r>
        <w:rPr>
          <w:b/>
          <w:bCs/>
        </w:rPr>
        <w:t xml:space="preserve">Vacaciones</w:t>
      </w:r>
      <w:r>
        <w:t xml:space="preserve">)</w:t>
      </w:r>
    </w:p>
    <w:p>
      <w:pPr>
        <w:pStyle w:val="FirstParagraph"/>
      </w:pPr>
      <w:r>
        <w:t xml:space="preserve">Elegí el</w:t>
      </w:r>
      <w:r>
        <w:t xml:space="preserve"> </w:t>
      </w:r>
      <w:r>
        <w:rPr>
          <w:b/>
          <w:bCs/>
        </w:rPr>
        <w:t xml:space="preserve">año vacacional</w:t>
      </w:r>
      <w:r>
        <w:t xml:space="preserve"> </w:t>
      </w:r>
      <w:r>
        <w:t xml:space="preserve">(las vacaciones de un año se toman entre el 1/10 de ese año y el 30/4 del siguiente). Arriba ves, por empleado, cuántos días le corresponden por antigüedad, cuántos tiene programados y el saldo. Con</w:t>
      </w:r>
      <w:r>
        <w:t xml:space="preserve"> </w:t>
      </w:r>
      <w:r>
        <w:rPr>
          <w:b/>
          <w:bCs/>
        </w:rPr>
        <w:t xml:space="preserve">+ Programar</w:t>
      </w:r>
      <w:r>
        <w:t xml:space="preserve"> </w:t>
      </w:r>
      <w:r>
        <w:t xml:space="preserve">cargás un tramo: fechas, fecha de notificación y, si corresponde, el tilde de acuerdo para tomarlas fuera del período legal.</w:t>
      </w:r>
    </w:p>
    <w:p>
      <w:pPr>
        <w:pStyle w:val="BodyText"/>
      </w:pPr>
      <w:r>
        <w:t xml:space="preserve">El sistema valida lo que pide la ley mientras escribís:</w:t>
      </w:r>
    </w:p>
    <w:p>
      <w:pPr>
        <w:pStyle w:val="Compact"/>
        <w:numPr>
          <w:ilvl w:val="0"/>
          <w:numId w:val="1029"/>
        </w:numPr>
      </w:pPr>
      <w:r>
        <w:t xml:space="preserve">Cada tramo tiene que ser de</w:t>
      </w:r>
      <w:r>
        <w:t xml:space="preserve"> </w:t>
      </w:r>
      <w:r>
        <w:rPr>
          <w:b/>
          <w:bCs/>
        </w:rPr>
        <w:t xml:space="preserve">7 días o más</w:t>
      </w:r>
      <w:r>
        <w:t xml:space="preserve">, salvo que sea todo el saldo que le queda.</w:t>
      </w:r>
    </w:p>
    <w:p>
      <w:pPr>
        <w:pStyle w:val="Compact"/>
        <w:numPr>
          <w:ilvl w:val="0"/>
          <w:numId w:val="1029"/>
        </w:numPr>
      </w:pPr>
      <w:r>
        <w:t xml:space="preserve">La notificación escrita tiene que tener</w:t>
      </w:r>
      <w:r>
        <w:t xml:space="preserve"> </w:t>
      </w:r>
      <w:r>
        <w:rPr>
          <w:b/>
          <w:bCs/>
        </w:rPr>
        <w:t xml:space="preserve">30 días de anticipación</w:t>
      </w:r>
      <w:r>
        <w:t xml:space="preserve">.</w:t>
      </w:r>
    </w:p>
    <w:p>
      <w:pPr>
        <w:pStyle w:val="Compact"/>
        <w:numPr>
          <w:ilvl w:val="0"/>
          <w:numId w:val="1029"/>
        </w:numPr>
      </w:pPr>
      <w:r>
        <w:t xml:space="preserve">Fuera del 1/10 al 30/4 hace falta acuerdo con el trabajador.</w:t>
      </w:r>
    </w:p>
    <w:p>
      <w:pPr>
        <w:pStyle w:val="Compact"/>
        <w:numPr>
          <w:ilvl w:val="0"/>
          <w:numId w:val="1029"/>
        </w:numPr>
      </w:pPr>
      <w:r>
        <w:t xml:space="preserve">No puede superar los días que le corresponden.</w:t>
      </w:r>
    </w:p>
    <w:p>
      <w:pPr>
        <w:pStyle w:val="Compact"/>
        <w:numPr>
          <w:ilvl w:val="0"/>
          <w:numId w:val="1029"/>
        </w:numPr>
      </w:pPr>
      <w:r>
        <w:t xml:space="preserve">Avisa si el empleado lleva dos años sin vacaciones en verano: le tocan al menos una vez cada tres años.</w:t>
      </w:r>
    </w:p>
    <w:p>
      <w:pPr>
        <w:pStyle w:val="FirstParagraph"/>
      </w:pPr>
      <w:r>
        <w:rPr>
          <w:b/>
          <w:bCs/>
        </w:rPr>
        <w:t xml:space="preserve">🖨 Notificación</w:t>
      </w:r>
      <w:r>
        <w:t xml:space="preserve"> </w:t>
      </w:r>
      <w:r>
        <w:t xml:space="preserve">imprime la comunicación escrita en original y duplicado, con la fecha de reintegro, y registra la fecha de notificación si estaba vacía. El panel</w:t>
      </w:r>
      <w:r>
        <w:t xml:space="preserve"> </w:t>
      </w:r>
      <w:r>
        <w:t xml:space="preserve">“Para hoy”</w:t>
      </w:r>
      <w:r>
        <w:t xml:space="preserve"> </w:t>
      </w:r>
      <w:r>
        <w:t xml:space="preserve">te avisa de las vacaciones que empiezan dentro de 45 días y todavía no se notificaron.</w:t>
      </w:r>
    </w:p>
    <w:bookmarkEnd w:id="62"/>
    <w:bookmarkStart w:id="63"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30"/>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30"/>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30"/>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30"/>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30"/>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30"/>
        </w:numPr>
      </w:pPr>
      <w:r>
        <w:rPr>
          <w:b/>
          <w:bCs/>
        </w:rPr>
        <w:t xml:space="preserve">Tope del 20 % de descuentos (Ley 27.802):</w:t>
      </w:r>
      <w:r>
        <w:t xml:space="preserve"> </w:t>
      </w:r>
      <w:r>
        <w:t xml:space="preserve">cuotas de préstamo y seguros voluntarios no pueden superar en conjunto el 20 % de lo que cobra el empleado en dinero. Si se pasan, aparece la alerta con el importe máximo; el descuento no se recorta solo, lo decidís vos con la contadora. Los</w:t>
      </w:r>
      <w:r>
        <w:t xml:space="preserve"> </w:t>
      </w:r>
      <w:r>
        <w:rPr>
          <w:b/>
          <w:bCs/>
        </w:rPr>
        <w:t xml:space="preserve">adelantos</w:t>
      </w:r>
      <w:r>
        <w:t xml:space="preserve"> </w:t>
      </w:r>
      <w:r>
        <w:t xml:space="preserve">van aparte: no entran en ese 20 %, pero no pueden superar el 50 % del sueldo del período. Los embargos judiciales siguen su propio régimen.</w:t>
      </w:r>
    </w:p>
    <w:p>
      <w:pPr>
        <w:pStyle w:val="Compact"/>
        <w:numPr>
          <w:ilvl w:val="0"/>
          <w:numId w:val="1030"/>
        </w:numPr>
      </w:pPr>
      <w:r>
        <w:rPr>
          <w:b/>
          <w:bCs/>
        </w:rPr>
        <w:t xml:space="preserve">RIFL:</w:t>
      </w:r>
      <w:r>
        <w:t xml:space="preserve"> </w:t>
      </w:r>
      <w:r>
        <w:t xml:space="preserve">si el legajo tiene fecha de alta bajo RIFL, durante 48 meses las contribuciones salen al 2 % (jubilación, fondo de empleo y asignaciones, todo junto) y 3 % (INSSJP). La alerta te dice en qué mes de los 48 está. El FAL se paga completo.</w:t>
      </w:r>
    </w:p>
    <w:p>
      <w:pPr>
        <w:pStyle w:val="Compact"/>
        <w:numPr>
          <w:ilvl w:val="0"/>
          <w:numId w:val="1030"/>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3"/>
    <w:bookmarkStart w:id="64"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4"/>
    <w:bookmarkStart w:id="65"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 Para los</w:t>
      </w:r>
      <w:r>
        <w:t xml:space="preserve"> </w:t>
      </w:r>
      <w:r>
        <w:rPr>
          <w:b/>
          <w:bCs/>
        </w:rPr>
        <w:t xml:space="preserve">beneficios sociales</w:t>
      </w:r>
      <w:r>
        <w:t xml:space="preserve"> </w:t>
      </w:r>
      <w:r>
        <w:t xml:space="preserve">y reintegros que la Ley 27.802 deja fuera del sueldo (comedor, gastos médicos, ropa de trabajo, guardería, útiles, sepelio, capacitación, uso del auto por km, transporte público, celular e internet, vivienda) están los conceptos 111 a 119, 121 y 122: son no remunerativos, sin aportes ni contribuciones, y se cargan a mano con comprobante.</w:t>
      </w:r>
    </w:p>
    <w:p>
      <w:pPr>
        <w:pStyle w:val="Compact"/>
        <w:numPr>
          <w:ilvl w:val="0"/>
          <w:numId w:val="1031"/>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31"/>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31"/>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5"/>
    <w:bookmarkStart w:id="66" w:name="Xb416bb6d091eb5d6a9265a5eb56ebe2b0cc72c7"/>
    <w:p>
      <w:pPr>
        <w:pStyle w:val="Heading4"/>
      </w:pPr>
      <w:r>
        <w:t xml:space="preserve">Preguntas para la contadora (no bloquean el uso del sistema)</w:t>
      </w:r>
    </w:p>
    <w:p>
      <w:pPr>
        <w:pStyle w:val="Compact"/>
        <w:numPr>
          <w:ilvl w:val="0"/>
          <w:numId w:val="1032"/>
        </w:numPr>
      </w:pPr>
      <w:r>
        <w:t xml:space="preserve">Cómo mapea en el LSD los códigos 224, 225 y 516 del recibo de septiembre de 2026, que no están en el padrón de ARCA.</w:t>
      </w:r>
    </w:p>
    <w:p>
      <w:pPr>
        <w:pStyle w:val="Compact"/>
        <w:numPr>
          <w:ilvl w:val="0"/>
          <w:numId w:val="1032"/>
        </w:numPr>
      </w:pPr>
      <w:r>
        <w:t xml:space="preserve">Porcentaje del aporte solidario UOM para no afiliados y valor vigente del seguro de sepelio.</w:t>
      </w:r>
    </w:p>
    <w:p>
      <w:pPr>
        <w:pStyle w:val="Compact"/>
        <w:numPr>
          <w:ilvl w:val="0"/>
          <w:numId w:val="1032"/>
        </w:numPr>
      </w:pPr>
      <w:r>
        <w:t xml:space="preserve">Si el tope de aportes se controla por quincena o por mes.</w:t>
      </w:r>
    </w:p>
    <w:p>
      <w:pPr>
        <w:pStyle w:val="Compact"/>
        <w:numPr>
          <w:ilvl w:val="0"/>
          <w:numId w:val="1032"/>
        </w:numPr>
      </w:pPr>
      <w:r>
        <w:t xml:space="preserve">Tope indemnizatorio vigente del CCT 260/75 (3 × promedio).</w:t>
      </w:r>
    </w:p>
    <w:p>
      <w:r>
        <w:pict>
          <v:rect style="width:0;height:1.5pt" o:hralign="center" o:hrstd="t" o:hr="t"/>
        </w:pict>
      </w:r>
    </w:p>
    <w:bookmarkEnd w:id="66"/>
    <w:bookmarkEnd w:id="67"/>
    <w:bookmarkEnd w:id="68"/>
    <w:bookmarkStart w:id="72"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9"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9"/>
    <w:bookmarkStart w:id="70" w:name="usuarios-y-permisos-admin"/>
    <w:p>
      <w:pPr>
        <w:pStyle w:val="Heading3"/>
      </w:pPr>
      <w:r>
        <w:t xml:space="preserve">12.2 Usuarios y permisos (admin)</w:t>
      </w:r>
    </w:p>
    <w:p>
      <w:pPr>
        <w:pStyle w:val="Compact"/>
        <w:numPr>
          <w:ilvl w:val="0"/>
          <w:numId w:val="1033"/>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33"/>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70"/>
    <w:bookmarkStart w:id="71"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4"/>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4"/>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4"/>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4"/>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4"/>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4"/>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1"/>
    <w:bookmarkEnd w:id="72"/>
    <w:bookmarkStart w:id="77"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p>
      <w:pPr>
        <w:pStyle w:val="BodyText"/>
      </w:pPr>
      <w:r>
        <w:rPr>
          <w:b/>
          <w:bCs/>
        </w:rPr>
        <w:t xml:space="preserve">Retenciones a proveedores:</w:t>
      </w:r>
      <w:r>
        <w:t xml:space="preserve"> </w:t>
      </w:r>
      <w:r>
        <w:t xml:space="preserve">en este mismo panel se eligen las cuentas de</w:t>
      </w:r>
      <w:r>
        <w:t xml:space="preserve"> </w:t>
      </w:r>
      <w:r>
        <w:rPr>
          <w:i/>
          <w:iCs/>
        </w:rPr>
        <w:t xml:space="preserve">retenciones a depositar</w:t>
      </w:r>
      <w:r>
        <w:t xml:space="preserve"> </w:t>
      </w:r>
      <w:r>
        <w:t xml:space="preserve">(Ganancias, IIBB, SUSS, IVA) y se mantienen los</w:t>
      </w:r>
      <w:r>
        <w:t xml:space="preserve"> </w:t>
      </w:r>
      <w:r>
        <w:rPr>
          <w:b/>
          <w:bCs/>
        </w:rPr>
        <w:t xml:space="preserve">regímenes de retención</w:t>
      </w:r>
      <w:r>
        <w:t xml:space="preserve">: código, concepto, mínimo no sujeto, alícuota de inscriptos y no inscriptos (o escala), mínimo de retención y forma de cálculo (acumulado mensual como la RG 830, o por pago). Vienen cargados los regímenes usuales de Ganancias con importes de referencia:</w:t>
      </w:r>
      <w:r>
        <w:t xml:space="preserve"> </w:t>
      </w:r>
      <w:r>
        <w:rPr>
          <w:b/>
          <w:bCs/>
        </w:rPr>
        <w:t xml:space="preserve">hay que revisarlos contra la norma vigente</w:t>
      </w:r>
      <w:r>
        <w:t xml:space="preserve"> </w:t>
      </w:r>
      <w:r>
        <w:t xml:space="preserve">y actualizarlos cuando ARCA los cambie.</w:t>
      </w:r>
    </w:p>
    <w:bookmarkStart w:id="73"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3"/>
    <w:bookmarkStart w:id="74"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4"/>
    <w:bookmarkStart w:id="75"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5"/>
    <w:bookmarkStart w:id="76"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6"/>
    <w:bookmarkEnd w:id="77"/>
    <w:bookmarkStart w:id="78"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8"/>
    <w:bookmarkStart w:id="79"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2026-10-06T14:22:36Z</dcterms:created>
  <dcterms:modified xsi:type="dcterms:W3CDTF">2026-10-06T14:22:36Z</dcterms:modified>
</cp:coreProperties>
</file>

<file path=docProps/custom.xml><?xml version="1.0" encoding="utf-8"?>
<Properties xmlns="http://schemas.openxmlformats.org/officeDocument/2006/custom-properties" xmlns:vt="http://schemas.openxmlformats.org/officeDocument/2006/docPropsVTypes"/>
</file>