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de usuario — VitalStock ERP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5"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5"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p>
    <w:bookmarkEnd w:id="22"/>
    <w:bookmarkStart w:id="23"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3"/>
    <w:bookmarkStart w:id="24"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07"/>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07"/>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07"/>
        </w:numPr>
      </w:pPr>
      <w:r>
        <w:rPr>
          <w:b/>
          <w:bCs/>
        </w:rPr>
        <w:t xml:space="preserve">Resultado:</w:t>
      </w:r>
      <w:r>
        <w:t xml:space="preserve"> </w:t>
      </w:r>
      <w:r>
        <w:t xml:space="preserve">conforme / no conforme.</w:t>
      </w:r>
    </w:p>
    <w:p>
      <w:pPr>
        <w:pStyle w:val="Compact"/>
        <w:numPr>
          <w:ilvl w:val="0"/>
          <w:numId w:val="1007"/>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07"/>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4"/>
    <w:bookmarkEnd w:id="25"/>
    <w:bookmarkStart w:id="30"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6"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6"/>
    <w:bookmarkStart w:id="27"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bookmarkEnd w:id="27"/>
    <w:bookmarkStart w:id="28"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8"/>
    <w:bookmarkStart w:id="29" w:name="facturas-recibidas"/>
    <w:p>
      <w:pPr>
        <w:pStyle w:val="Heading3"/>
      </w:pPr>
      <w:r>
        <w:t xml:space="preserve">7.4 Facturas recibidas</w:t>
      </w:r>
    </w:p>
    <w:p>
      <w:pPr>
        <w:pStyle w:val="FirstParagraph"/>
      </w:pPr>
      <w:r>
        <w:t xml:space="preserve">Lista de todas las facturas de proveedores. Acá ves la columna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 No se cargan sueltas: salen de una OC con recepción.</w:t>
      </w:r>
    </w:p>
    <w:p>
      <w:r>
        <w:pict>
          <v:rect style="width:0;height:1.5pt" o:hralign="center" o:hrstd="t" o:hr="t"/>
        </w:pict>
      </w:r>
    </w:p>
    <w:bookmarkEnd w:id="29"/>
    <w:bookmarkEnd w:id="30"/>
    <w:bookmarkStart w:id="35"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1"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pStyle w:val="Compact"/>
        <w:numPr>
          <w:ilvl w:val="0"/>
          <w:numId w:val="1008"/>
        </w:numPr>
      </w:pPr>
      <w:r>
        <w:rPr>
          <w:b/>
          <w:bCs/>
        </w:rPr>
        <w:t xml:space="preserve">Importar Excel:</w:t>
      </w:r>
      <w:r>
        <w:t xml:space="preserve"> </w:t>
      </w:r>
      <w:r>
        <w:t xml:space="preserve">para cargar muchos de una. Detecta duplicados por CUIT (o por nombre).</w:t>
      </w:r>
    </w:p>
    <w:p>
      <w:pPr>
        <w:pStyle w:val="Compact"/>
        <w:numPr>
          <w:ilvl w:val="0"/>
          <w:numId w:val="1008"/>
        </w:numPr>
      </w:pPr>
      <w:r>
        <w:rPr>
          <w:b/>
          <w:bCs/>
        </w:rPr>
        <w:t xml:space="preserve">Ficha del cliente:</w:t>
      </w:r>
      <w:r>
        <w:t xml:space="preserve"> </w:t>
      </w:r>
      <w:r>
        <w:t xml:space="preserve">tocá el nombre para ver su historial completo (presupuestos, ventas, facturas, pagos).</w:t>
      </w:r>
    </w:p>
    <w:p>
      <w:pPr>
        <w:pStyle w:val="Compact"/>
        <w:numPr>
          <w:ilvl w:val="0"/>
          <w:numId w:val="1008"/>
        </w:numPr>
      </w:pPr>
      <w:r>
        <w:rPr>
          <w:b/>
          <w:bCs/>
        </w:rPr>
        <w:t xml:space="preserve">Exportar:</w:t>
      </w:r>
      <w:r>
        <w:t xml:space="preserve"> </w:t>
      </w:r>
      <w:r>
        <w:t xml:space="preserve">botón</w:t>
      </w:r>
      <w:r>
        <w:t xml:space="preserve"> </w:t>
      </w:r>
      <w:r>
        <w:rPr>
          <w:b/>
          <w:bCs/>
        </w:rPr>
        <w:t xml:space="preserve">Excel</w:t>
      </w:r>
      <w:r>
        <w:t xml:space="preserve">.</w:t>
      </w:r>
    </w:p>
    <w:bookmarkEnd w:id="31"/>
    <w:bookmarkStart w:id="32"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2"/>
    <w:bookmarkStart w:id="33"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3"/>
    <w:bookmarkStart w:id="34"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09"/>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09"/>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09"/>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09"/>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p>
      <w:r>
        <w:pict>
          <v:rect style="width:0;height:1.5pt" o:hralign="center" o:hrstd="t" o:hr="t"/>
        </w:pict>
      </w:r>
    </w:p>
    <w:bookmarkEnd w:id="34"/>
    <w:bookmarkEnd w:id="35"/>
    <w:bookmarkStart w:id="38" w:name="análisis-costos-y-trazabilidad"/>
    <w:p>
      <w:pPr>
        <w:pStyle w:val="Heading2"/>
      </w:pPr>
      <w:r>
        <w:t xml:space="preserve">9. Análisis (costos y trazabilidad)</w:t>
      </w:r>
    </w:p>
    <w:bookmarkStart w:id="36"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0"/>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0"/>
        </w:numPr>
      </w:pPr>
      <w:r>
        <w:t xml:space="preserve">Tocá</w:t>
      </w:r>
      <w:r>
        <w:t xml:space="preserve"> </w:t>
      </w:r>
      <w:r>
        <w:rPr>
          <w:b/>
          <w:bCs/>
        </w:rPr>
        <w:t xml:space="preserve">↻ Recalcular</w:t>
      </w:r>
      <w:r>
        <w:t xml:space="preserve">.</w:t>
      </w:r>
    </w:p>
    <w:p>
      <w:pPr>
        <w:pStyle w:val="Compact"/>
        <w:numPr>
          <w:ilvl w:val="0"/>
          <w:numId w:val="1010"/>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6"/>
    <w:bookmarkStart w:id="37"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37"/>
    <w:bookmarkEnd w:id="38"/>
    <w:bookmarkStart w:id="44"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39"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39"/>
    <w:bookmarkStart w:id="40"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0"/>
    <w:bookmarkStart w:id="41"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1"/>
    <w:bookmarkStart w:id="42"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2"/>
    <w:bookmarkStart w:id="43" w:name="retención-de-evidencia"/>
    <w:p>
      <w:pPr>
        <w:pStyle w:val="Heading3"/>
      </w:pPr>
      <w:r>
        <w:t xml:space="preserve">10.5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3"/>
    <w:bookmarkEnd w:id="44"/>
    <w:bookmarkStart w:id="53"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5"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1"/>
        </w:numPr>
      </w:pPr>
      <w:r>
        <w:rPr>
          <w:b/>
          <w:bCs/>
        </w:rPr>
        <w:t xml:space="preserve">Expandir / Colapsar</w:t>
      </w:r>
      <w:r>
        <w:t xml:space="preserve"> </w:t>
      </w:r>
      <w:r>
        <w:t xml:space="preserve">los grupos.</w:t>
      </w:r>
    </w:p>
    <w:p>
      <w:pPr>
        <w:pStyle w:val="Compact"/>
        <w:numPr>
          <w:ilvl w:val="0"/>
          <w:numId w:val="1011"/>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1"/>
        </w:numPr>
      </w:pPr>
      <w:r>
        <w:t xml:space="preserve">Filtrá por tipo, activa o ajustable.</w:t>
      </w:r>
    </w:p>
    <w:bookmarkEnd w:id="45"/>
    <w:bookmarkStart w:id="46"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46"/>
    <w:bookmarkStart w:id="47"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2"/>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2"/>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2"/>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bookmarkEnd w:id="47"/>
    <w:bookmarkStart w:id="48"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bookmarkEnd w:id="48"/>
    <w:bookmarkStart w:id="49"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bookmarkEnd w:id="49"/>
    <w:bookmarkStart w:id="50"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0"/>
    <w:bookmarkStart w:id="51" w:name="conciliación-bancaria"/>
    <w:p>
      <w:pPr>
        <w:pStyle w:val="Heading3"/>
      </w:pPr>
      <w:r>
        <w:t xml:space="preserve">11.7 Conciliación bancaria</w:t>
      </w:r>
    </w:p>
    <w:p>
      <w:pPr>
        <w:pStyle w:val="Compact"/>
        <w:numPr>
          <w:ilvl w:val="0"/>
          <w:numId w:val="1013"/>
        </w:numPr>
      </w:pPr>
      <w:r>
        <w:t xml:space="preserve">Definí las</w:t>
      </w:r>
      <w:r>
        <w:t xml:space="preserve"> </w:t>
      </w:r>
      <w:r>
        <w:rPr>
          <w:b/>
          <w:bCs/>
        </w:rPr>
        <w:t xml:space="preserve">cuentas bancarias</w:t>
      </w:r>
      <w:r>
        <w:t xml:space="preserve">.</w:t>
      </w:r>
    </w:p>
    <w:p>
      <w:pPr>
        <w:pStyle w:val="Compact"/>
        <w:numPr>
          <w:ilvl w:val="0"/>
          <w:numId w:val="1013"/>
        </w:numPr>
      </w:pPr>
      <w:r>
        <w:rPr>
          <w:b/>
          <w:bCs/>
        </w:rPr>
        <w:t xml:space="preserve">Importá el extracto</w:t>
      </w:r>
      <w:r>
        <w:t xml:space="preserve"> </w:t>
      </w:r>
      <w:r>
        <w:t xml:space="preserve">del banco (CSV/XLS).</w:t>
      </w:r>
    </w:p>
    <w:p>
      <w:pPr>
        <w:pStyle w:val="Compact"/>
        <w:numPr>
          <w:ilvl w:val="0"/>
          <w:numId w:val="1013"/>
        </w:numPr>
      </w:pPr>
      <w:r>
        <w:rPr>
          <w:b/>
          <w:bCs/>
        </w:rPr>
        <w:t xml:space="preserve">Conciliá:</w:t>
      </w:r>
      <w:r>
        <w:t xml:space="preserve"> </w:t>
      </w:r>
      <w:r>
        <w:t xml:space="preserve">emparejá cada línea del extracto con su asiento. Los no conciliados quedan marcados.</w:t>
      </w:r>
    </w:p>
    <w:bookmarkEnd w:id="51"/>
    <w:bookmarkStart w:id="52" w:name="cierre-períodos-y-ajuste-por-inflación"/>
    <w:p>
      <w:pPr>
        <w:pStyle w:val="Heading3"/>
      </w:pPr>
      <w:r>
        <w:t xml:space="preserve">11.8 Cierre, períodos y ajuste por inflación</w:t>
      </w:r>
    </w:p>
    <w:p>
      <w:pPr>
        <w:pStyle w:val="Compact"/>
        <w:numPr>
          <w:ilvl w:val="0"/>
          <w:numId w:val="1014"/>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4"/>
        </w:numPr>
      </w:pPr>
      <w:r>
        <w:rPr>
          <w:b/>
          <w:bCs/>
        </w:rPr>
        <w:t xml:space="preserve">Índices IPC:</w:t>
      </w:r>
      <w:r>
        <w:t xml:space="preserve"> </w:t>
      </w:r>
      <w:r>
        <w:t xml:space="preserve">cargá el IPC del INDEC mes a mes. Es la base para el ajuste por inflación.</w:t>
      </w:r>
    </w:p>
    <w:p>
      <w:pPr>
        <w:pStyle w:val="Compact"/>
        <w:numPr>
          <w:ilvl w:val="0"/>
          <w:numId w:val="1014"/>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4"/>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2"/>
    <w:bookmarkEnd w:id="53"/>
    <w:bookmarkStart w:id="57"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4"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4"/>
    <w:bookmarkStart w:id="55" w:name="usuarios-y-permisos-admin"/>
    <w:p>
      <w:pPr>
        <w:pStyle w:val="Heading3"/>
      </w:pPr>
      <w:r>
        <w:t xml:space="preserve">12.2 Usuarios y permisos (admin)</w:t>
      </w:r>
    </w:p>
    <w:p>
      <w:pPr>
        <w:pStyle w:val="Compact"/>
        <w:numPr>
          <w:ilvl w:val="0"/>
          <w:numId w:val="1015"/>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15"/>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5"/>
    <w:bookmarkStart w:id="56"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16"/>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y si los precios</w:t>
      </w:r>
      <w:r>
        <w:t xml:space="preserve"> </w:t>
      </w:r>
      <w:r>
        <w:rPr>
          <w:b/>
          <w:bCs/>
        </w:rPr>
        <w:t xml:space="preserve">incluyen IVA</w:t>
      </w:r>
      <w:r>
        <w:t xml:space="preserve">.</w:t>
      </w:r>
    </w:p>
    <w:p>
      <w:pPr>
        <w:pStyle w:val="Compact"/>
        <w:numPr>
          <w:ilvl w:val="0"/>
          <w:numId w:val="1016"/>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16"/>
        </w:numPr>
      </w:pPr>
      <w:r>
        <w:rPr>
          <w:b/>
          <w:bCs/>
        </w:rPr>
        <w:t xml:space="preserve">Caja y banco:</w:t>
      </w:r>
      <w:r>
        <w:t xml:space="preserve"> </w:t>
      </w:r>
      <w:r>
        <w:t xml:space="preserve">cuenta de caja (efectivo) y cuenta de banco (transferencias).</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56"/>
    <w:bookmarkEnd w:id="57"/>
    <w:bookmarkStart w:id="62"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58"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58"/>
    <w:bookmarkStart w:id="59"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59"/>
    <w:bookmarkStart w:id="60"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0"/>
    <w:bookmarkStart w:id="61"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1"/>
    <w:bookmarkEnd w:id="62"/>
    <w:bookmarkStart w:id="63"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3"/>
    <w:bookmarkStart w:id="64"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VitalStock ERP</dc:title>
  <dc:creator/>
  <cp:keywords/>
  <dcterms:created xsi:type="dcterms:W3CDTF">2026-07-02T13:34:56Z</dcterms:created>
  <dcterms:modified xsi:type="dcterms:W3CDTF">2026-07-02T13:34:56Z</dcterms:modified>
</cp:coreProperties>
</file>

<file path=docProps/custom.xml><?xml version="1.0" encoding="utf-8"?>
<Properties xmlns="http://schemas.openxmlformats.org/officeDocument/2006/custom-properties" xmlns:vt="http://schemas.openxmlformats.org/officeDocument/2006/docPropsVTypes"/>
</file>