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cancelás; el monto a imputar se completa con el saldo y podés bajarlo para un</w:t>
      </w:r>
      <w:r>
        <w:t xml:space="preserve"> </w:t>
      </w:r>
      <w:r>
        <w:rPr>
          <w:b/>
          <w:bCs/>
        </w:rPr>
        <w:t xml:space="preserve">pago parcial</w:t>
      </w:r>
      <w:r>
        <w:t xml:space="preserve">.</w:t>
      </w:r>
      <w:r>
        <w:t xml:space="preserve"> </w:t>
      </w:r>
      <w:r>
        <w:rPr>
          <w:b/>
          <w:bCs/>
        </w:rPr>
        <w:t xml:space="preserve">Imputar automático</w:t>
      </w:r>
      <w:r>
        <w:t xml:space="preserve"> </w:t>
      </w:r>
      <w:r>
        <w:t xml:space="preserve">reparte el total de los medios entre las facturas, la más vieja primero.</w:t>
      </w:r>
    </w:p>
    <w:p>
      <w:pPr>
        <w:pStyle w:val="Compact"/>
        <w:numPr>
          <w:ilvl w:val="0"/>
          <w:numId w:val="1012"/>
        </w:numPr>
      </w:pPr>
      <w:r>
        <w:t xml:space="preserve">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p>
    <w:p>
      <w:pPr>
        <w:pStyle w:val="Compact"/>
        <w:numPr>
          <w:ilvl w:val="0"/>
          <w:numId w:val="1012"/>
        </w:numPr>
      </w:pPr>
      <w:r>
        <w:t xml:space="preserve">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p>
    <w:p>
      <w:pPr>
        <w:pStyle w:val="Compact"/>
        <w:numPr>
          <w:ilvl w:val="0"/>
          <w:numId w:val="1012"/>
        </w:numPr>
      </w:pP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FirstParagraph"/>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3"/>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3"/>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3"/>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3"/>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3"/>
        </w:numPr>
      </w:pPr>
      <w:r>
        <w:rPr>
          <w:b/>
          <w:bCs/>
        </w:rPr>
        <w:t xml:space="preserve">Importar Excel:</w:t>
      </w:r>
      <w:r>
        <w:t xml:space="preserve"> </w:t>
      </w:r>
      <w:r>
        <w:t xml:space="preserve">para cargar muchos de una. Detecta duplicados por CUIT (o por nombre).</w:t>
      </w:r>
    </w:p>
    <w:p>
      <w:pPr>
        <w:numPr>
          <w:ilvl w:val="0"/>
          <w:numId w:val="1013"/>
        </w:numPr>
      </w:pPr>
      <w:r>
        <w:rPr>
          <w:b/>
          <w:bCs/>
        </w:rPr>
        <w:t xml:space="preserve">Ficha del cliente:</w:t>
      </w:r>
      <w:r>
        <w:t xml:space="preserve"> </w:t>
      </w:r>
      <w:r>
        <w:t xml:space="preserve">tocá el nombre para ver su historial completo (presupuestos, ventas, facturas, pagos).</w:t>
      </w:r>
    </w:p>
    <w:p>
      <w:pPr>
        <w:numPr>
          <w:ilvl w:val="0"/>
          <w:numId w:val="1013"/>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4"/>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4"/>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4"/>
        </w:numPr>
      </w:pPr>
      <w:r>
        <w:rPr>
          <w:b/>
          <w:bCs/>
        </w:rPr>
        <w:t xml:space="preserve">Acciones:</w:t>
      </w:r>
      <w:r>
        <w:t xml:space="preserve"> </w:t>
      </w:r>
      <w:r>
        <w:rPr>
          <w:b/>
          <w:bCs/>
        </w:rPr>
        <w:t xml:space="preserve">Ver CAE</w:t>
      </w:r>
      <w:r>
        <w:t xml:space="preserve"> </w:t>
      </w:r>
      <w:r>
        <w:t xml:space="preserve">(muestra número, CAE y vencimiento, y ofrece abrir la página de</w:t>
      </w:r>
      <w:r>
        <w:t xml:space="preserve"> </w:t>
      </w:r>
      <w:r>
        <w:rPr>
          <w:b/>
          <w:bCs/>
        </w:rPr>
        <w:t xml:space="preserve">Constatación de Comprobantes</w:t>
      </w:r>
      <w:r>
        <w:t xml:space="preserve"> </w:t>
      </w:r>
      <w:r>
        <w:t xml:space="preserve">de ARCA con los datos precargados: escribís el captcha y ARCA confirma que el comprobante está autorizado) y</w:t>
      </w:r>
      <w:r>
        <w:t xml:space="preserve"> </w:t>
      </w:r>
      <w:r>
        <w:rPr>
          <w:b/>
          <w:bCs/>
        </w:rPr>
        <w:t xml:space="preserve">NC/ND</w:t>
      </w:r>
      <w:r>
        <w:t xml:space="preserve"> </w:t>
      </w:r>
      <w:r>
        <w:t xml:space="preserve">sobre cualquier factura. El ERP todavía</w:t>
      </w:r>
      <w:r>
        <w:t xml:space="preserve"> </w:t>
      </w:r>
      <w:r>
        <w:rPr>
          <w:b/>
          <w:bCs/>
        </w:rPr>
        <w:t xml:space="preserve">no arma el PDF de la factura</w:t>
      </w:r>
      <w:r>
        <w:t xml:space="preserve"> </w:t>
      </w:r>
      <w:r>
        <w:t xml:space="preserve">para mandar al cliente.</w:t>
      </w:r>
    </w:p>
    <w:p>
      <w:pPr>
        <w:pStyle w:val="Compact"/>
        <w:numPr>
          <w:ilvl w:val="0"/>
          <w:numId w:val="1014"/>
        </w:numPr>
      </w:pPr>
      <w:r>
        <w:rPr>
          <w:b/>
          <w:bCs/>
        </w:rPr>
        <w:t xml:space="preserve">Si ARCA rechaza un comprobante</w:t>
      </w:r>
      <w:r>
        <w:t xml:space="preserve">, el cartel rojo muestra el</w:t>
      </w:r>
      <w:r>
        <w:t xml:space="preserve"> </w:t>
      </w:r>
      <w:r>
        <w:rPr>
          <w:b/>
          <w:bCs/>
        </w:rPr>
        <w:t xml:space="preserve">código y el motivo</w:t>
      </w:r>
      <w:r>
        <w:t xml:space="preserve"> </w:t>
      </w:r>
      <w:r>
        <w:t xml:space="preserve">que devolvió ARCA (ej.:</w:t>
      </w:r>
      <w:r>
        <w:t xml:space="preserve"> </w:t>
      </w:r>
      <w:r>
        <w:rPr>
          <w:rStyle w:val="VerbatimChar"/>
        </w:rPr>
        <w:t xml:space="preserve">[10247] La CUIT receptora informada está inactiva o es inválida</w:t>
      </w:r>
      <w:r>
        <w:t xml:space="preserve">). Corregí lo que indica (CUIT o condición fiscal del cliente en su ficha, importes) y volvé a facturar: un rechazo no consume número ni CAE.</w:t>
      </w:r>
    </w:p>
    <w:p>
      <w:pPr>
        <w:pStyle w:val="Compact"/>
        <w:numPr>
          <w:ilvl w:val="0"/>
          <w:numId w:val="1014"/>
        </w:numPr>
      </w:pPr>
      <w:r>
        <w:rPr>
          <w:b/>
          <w:bCs/>
        </w:rPr>
        <w:t xml:space="preserve">Dónde ver una factura en ARCA:</w:t>
      </w:r>
      <w:r>
        <w:t xml:space="preserve"> </w:t>
      </w:r>
      <w:r>
        <w:t xml:space="preserve">las emitidas por el ERP</w:t>
      </w:r>
      <w:r>
        <w:t xml:space="preserve"> </w:t>
      </w:r>
      <w:r>
        <w:rPr>
          <w:b/>
          <w:bCs/>
        </w:rPr>
        <w:t xml:space="preserve">no</w:t>
      </w:r>
      <w:r>
        <w:t xml:space="preserve"> </w:t>
      </w:r>
      <w:r>
        <w:t xml:space="preserve">aparecen en</w:t>
      </w:r>
      <w:r>
        <w:t xml:space="preserve"> </w:t>
      </w:r>
      <w:r>
        <w:t xml:space="preserve">“Comprobantes en línea”</w:t>
      </w:r>
      <w:r>
        <w:t xml:space="preserve">; aparecen en</w:t>
      </w:r>
      <w:r>
        <w:t xml:space="preserve"> </w:t>
      </w:r>
      <w:r>
        <w:rPr>
          <w:b/>
          <w:bCs/>
        </w:rPr>
        <w:t xml:space="preserve">Mis Comprobantes → Emitidos</w:t>
      </w:r>
      <w:r>
        <w:t xml:space="preserve"> </w:t>
      </w:r>
      <w:r>
        <w:t xml:space="preserve">(punto de venta 4), normalmente</w:t>
      </w:r>
      <w:r>
        <w:t xml:space="preserve"> </w:t>
      </w:r>
      <w:r>
        <w:rPr>
          <w:b/>
          <w:bCs/>
        </w:rPr>
        <w:t xml:space="preserve">al día siguiente</w:t>
      </w:r>
      <w:r>
        <w:t xml:space="preserve">.</w:t>
      </w:r>
    </w:p>
    <w:p>
      <w:pPr>
        <w:pStyle w:val="Compact"/>
        <w:numPr>
          <w:ilvl w:val="0"/>
          <w:numId w:val="1014"/>
        </w:numPr>
      </w:pPr>
      <w:r>
        <w:rPr>
          <w:b/>
          <w:bCs/>
        </w:rPr>
        <w:t xml:space="preserve">Excel:</w:t>
      </w:r>
      <w:r>
        <w:t xml:space="preserve"> </w:t>
      </w:r>
      <w:r>
        <w:t xml:space="preserve">exporta el listado filtrado. Para ordenar, click en el encabezado de la columna.</w:t>
      </w:r>
    </w:p>
    <w:p>
      <w:pPr>
        <w:pStyle w:val="Compact"/>
        <w:numPr>
          <w:ilvl w:val="0"/>
          <w:numId w:val="1014"/>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5"/>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5"/>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5"/>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5"/>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6"/>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6"/>
        </w:numPr>
      </w:pPr>
      <w:r>
        <w:t xml:space="preserve">Tocá</w:t>
      </w:r>
      <w:r>
        <w:t xml:space="preserve"> </w:t>
      </w:r>
      <w:r>
        <w:rPr>
          <w:b/>
          <w:bCs/>
        </w:rPr>
        <w:t xml:space="preserve">↻ Recalcular</w:t>
      </w:r>
      <w:r>
        <w:t xml:space="preserve">.</w:t>
      </w:r>
    </w:p>
    <w:p>
      <w:pPr>
        <w:pStyle w:val="Compact"/>
        <w:numPr>
          <w:ilvl w:val="0"/>
          <w:numId w:val="1016"/>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7"/>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7"/>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7"/>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7"/>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68"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8"/>
        </w:numPr>
      </w:pPr>
      <w:r>
        <w:rPr>
          <w:b/>
          <w:bCs/>
        </w:rPr>
        <w:t xml:space="preserve">Expandir / Colapsar</w:t>
      </w:r>
      <w:r>
        <w:t xml:space="preserve"> </w:t>
      </w:r>
      <w:r>
        <w:t xml:space="preserve">los grupos.</w:t>
      </w:r>
    </w:p>
    <w:p>
      <w:pPr>
        <w:pStyle w:val="Compact"/>
        <w:numPr>
          <w:ilvl w:val="0"/>
          <w:numId w:val="1018"/>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8"/>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9"/>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19"/>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9"/>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0"/>
        </w:numPr>
      </w:pPr>
      <w:r>
        <w:t xml:space="preserve">Definí las</w:t>
      </w:r>
      <w:r>
        <w:t xml:space="preserve"> </w:t>
      </w:r>
      <w:r>
        <w:rPr>
          <w:b/>
          <w:bCs/>
        </w:rPr>
        <w:t xml:space="preserve">cuentas bancarias</w:t>
      </w:r>
      <w:r>
        <w:t xml:space="preserve">.</w:t>
      </w:r>
    </w:p>
    <w:p>
      <w:pPr>
        <w:pStyle w:val="Compact"/>
        <w:numPr>
          <w:ilvl w:val="0"/>
          <w:numId w:val="1020"/>
        </w:numPr>
      </w:pPr>
      <w:r>
        <w:rPr>
          <w:b/>
          <w:bCs/>
        </w:rPr>
        <w:t xml:space="preserve">Importá el extracto</w:t>
      </w:r>
      <w:r>
        <w:t xml:space="preserve"> </w:t>
      </w:r>
      <w:r>
        <w:t xml:space="preserve">del banco (CSV/XLS).</w:t>
      </w:r>
    </w:p>
    <w:p>
      <w:pPr>
        <w:pStyle w:val="Compact"/>
        <w:numPr>
          <w:ilvl w:val="0"/>
          <w:numId w:val="1020"/>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1"/>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1"/>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1"/>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1"/>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1"/>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1"/>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1"/>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2"/>
        </w:numPr>
      </w:pPr>
      <w:r>
        <w:rPr>
          <w:b/>
          <w:bCs/>
        </w:rPr>
        <w:t xml:space="preserve">Impuesto a las ganancias:</w:t>
      </w:r>
      <w:r>
        <w:t xml:space="preserve"> </w:t>
      </w:r>
      <w:r>
        <w:t xml:space="preserve">el importe determinado que te pasa la contadora.</w:t>
      </w:r>
    </w:p>
    <w:p>
      <w:pPr>
        <w:pStyle w:val="Compact"/>
        <w:numPr>
          <w:ilvl w:val="1"/>
          <w:numId w:val="1022"/>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2"/>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2"/>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2"/>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1"/>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1"/>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1"/>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8"/>
    <w:bookmarkStart w:id="67"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59"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3"/>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3"/>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 El</w:t>
      </w:r>
      <w:r>
        <w:t xml:space="preserve"> </w:t>
      </w:r>
      <w:r>
        <w:rPr>
          <w:b/>
          <w:bCs/>
        </w:rPr>
        <w:t xml:space="preserve">aporte solidario</w:t>
      </w:r>
      <w:r>
        <w:t xml:space="preserve"> </w:t>
      </w:r>
      <w:r>
        <w:t xml:space="preserve">de los no afiliados tiene tope legal del 2 %: si cargás más, el campo te avisa en rojo y la liquidación muestra la alerta. La cuota sindical de los afiliados no tiene ese tope.</w:t>
      </w:r>
    </w:p>
    <w:p>
      <w:pPr>
        <w:pStyle w:val="Compact"/>
        <w:numPr>
          <w:ilvl w:val="0"/>
          <w:numId w:val="1023"/>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3"/>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59"/>
    <w:bookmarkStart w:id="60"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4"/>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4"/>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 Abajo, tres datos de la Ley 27.802 que se dejan vacíos si no aplican:</w:t>
      </w:r>
      <w:r>
        <w:t xml:space="preserve"> </w:t>
      </w:r>
      <w:r>
        <w:rPr>
          <w:b/>
          <w:bCs/>
        </w:rPr>
        <w:t xml:space="preserve">alta bajo RIFL</w:t>
      </w:r>
      <w:r>
        <w:t xml:space="preserve"> </w:t>
      </w:r>
      <w:r>
        <w:t xml:space="preserve">(contribuciones reducidas por 48 meses para altas que encuadran en el régimen de formalización; es optativo y se ejerce en ARCA al dar el alta),</w:t>
      </w:r>
      <w:r>
        <w:t xml:space="preserve"> </w:t>
      </w:r>
      <w:r>
        <w:rPr>
          <w:b/>
          <w:bCs/>
        </w:rPr>
        <w:t xml:space="preserve">vencimiento del contrato a plazo fijo</w:t>
      </w:r>
      <w:r>
        <w:t xml:space="preserve"> </w:t>
      </w:r>
      <w:r>
        <w:t xml:space="preserve">y</w:t>
      </w:r>
      <w:r>
        <w:t xml:space="preserve"> </w:t>
      </w:r>
      <w:r>
        <w:rPr>
          <w:b/>
          <w:bCs/>
        </w:rPr>
        <w:t xml:space="preserve">banco de horas</w:t>
      </w:r>
      <w:r>
        <w:t xml:space="preserve"> </w:t>
      </w:r>
      <w:r>
        <w:t xml:space="preserve">(tilde + fecha del acuerdo escrito).</w:t>
      </w:r>
    </w:p>
    <w:p>
      <w:pPr>
        <w:pStyle w:val="Compact"/>
        <w:numPr>
          <w:ilvl w:val="0"/>
          <w:numId w:val="1024"/>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4"/>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4"/>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25"/>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25"/>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25"/>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25"/>
        </w:numPr>
      </w:pPr>
      <w:r>
        <w:rPr>
          <w:b/>
          <w:bCs/>
        </w:rPr>
        <w:t xml:space="preserve">Preaviso:</w:t>
      </w:r>
      <w:r>
        <w:t xml:space="preserve"> </w:t>
      </w:r>
      <w:r>
        <w:t xml:space="preserve">un mes hasta 5 años de antigüedad, dos meses si los supera.</w:t>
      </w:r>
    </w:p>
    <w:p>
      <w:pPr>
        <w:pStyle w:val="Compact"/>
        <w:numPr>
          <w:ilvl w:val="0"/>
          <w:numId w:val="1025"/>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25"/>
        </w:numPr>
      </w:pPr>
      <w:r>
        <w:rPr>
          <w:b/>
          <w:bCs/>
        </w:rPr>
        <w:t xml:space="preserve">Fallecimiento:</w:t>
      </w:r>
      <w:r>
        <w:t xml:space="preserve"> </w:t>
      </w:r>
      <w:r>
        <w:t xml:space="preserve">la mitad de la indemnización por antigüedad, sin preaviso ni integración.</w:t>
      </w:r>
    </w:p>
    <w:p>
      <w:pPr>
        <w:pStyle w:val="Compact"/>
        <w:numPr>
          <w:ilvl w:val="0"/>
          <w:numId w:val="1025"/>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la</w:t>
      </w:r>
      <w:r>
        <w:t xml:space="preserve"> </w:t>
      </w:r>
      <w:r>
        <w:rPr>
          <w:b/>
          <w:bCs/>
        </w:rPr>
        <w:t xml:space="preserve">Fecha de reingreso</w:t>
      </w:r>
      <w:r>
        <w:t xml:space="preserve">. El sistema descuenta lo cobrado, pero nunca deja menos de lo que corresponde por el último período trabajado.</w:t>
      </w:r>
    </w:p>
    <w:p>
      <w:pPr>
        <w:pStyle w:val="Compact"/>
        <w:numPr>
          <w:ilvl w:val="0"/>
          <w:numId w:val="1025"/>
        </w:numPr>
      </w:pPr>
      <w:r>
        <w:rPr>
          <w:b/>
          <w:bCs/>
        </w:rPr>
        <w:t xml:space="preserve">Contrato a plazo fijo:</w:t>
      </w:r>
      <w:r>
        <w:t xml:space="preserve"> </w:t>
      </w:r>
      <w:r>
        <w:t xml:space="preserve">si vence el plazo y el contrato duró un año o más, corresponde la mitad de la indemnización (causa</w:t>
      </w:r>
      <w:r>
        <w:t xml:space="preserve"> </w:t>
      </w:r>
      <w:r>
        <w:t xml:space="preserve">“Fin de contrato”</w:t>
      </w:r>
      <w:r>
        <w:t xml:space="preserve">). Si lo despedís antes del vencimiento, elegí</w:t>
      </w:r>
      <w:r>
        <w:t xml:space="preserve"> </w:t>
      </w:r>
      <w:r>
        <w:t xml:space="preserve">“Despido sin causa”</w:t>
      </w:r>
      <w:r>
        <w:t xml:space="preserve">: con la fecha de vencimiento cargada, la antigüedad se cuenta hasta ese día.</w:t>
      </w:r>
    </w:p>
    <w:p>
      <w:pPr>
        <w:pStyle w:val="Compact"/>
        <w:numPr>
          <w:ilvl w:val="0"/>
          <w:numId w:val="1025"/>
        </w:numPr>
      </w:pPr>
      <w:r>
        <w:rPr>
          <w:b/>
          <w:bCs/>
        </w:rPr>
        <w:t xml:space="preserve">Base a mano:</w:t>
      </w:r>
      <w:r>
        <w:t xml:space="preserve"> </w:t>
      </w:r>
      <w:r>
        <w:t xml:space="preserve">si el empleado tiene sueldos liquidados fuera del sistema durante el último año, el ERP no conoce esa historia y usa el sueldo vigente. En ese caso cargá vos la mejor remuneración normal y habitual en</w:t>
      </w:r>
      <w:r>
        <w:t xml:space="preserve"> </w:t>
      </w:r>
      <w:r>
        <w:rPr>
          <w:b/>
          <w:bCs/>
        </w:rPr>
        <w:t xml:space="preserve">Base indemnizatoria a mano</w:t>
      </w:r>
      <w:r>
        <w:t xml:space="preserve">.</w:t>
      </w:r>
    </w:p>
    <w:p>
      <w:pPr>
        <w:pStyle w:val="Compact"/>
        <w:numPr>
          <w:ilvl w:val="0"/>
          <w:numId w:val="1025"/>
        </w:numPr>
      </w:pPr>
      <w:r>
        <w:rPr>
          <w:b/>
          <w:bCs/>
        </w:rPr>
        <w:t xml:space="preserve">Saldo de banco de horas:</w:t>
      </w:r>
      <w:r>
        <w:t xml:space="preserve"> </w:t>
      </w:r>
      <w:r>
        <w:t xml:space="preserve">si al egreso le quedan horas a favor, el preview lo avisa para que las liquides o compenses antes.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0"/>
    <w:bookmarkStart w:id="61"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p>
      <w:pPr>
        <w:pStyle w:val="BodyText"/>
      </w:pPr>
      <w:r>
        <w:rPr>
          <w:b/>
          <w:bCs/>
        </w:rPr>
        <w:t xml:space="preserve">Banco de horas:</w:t>
      </w:r>
      <w:r>
        <w:t xml:space="preserve"> </w:t>
      </w:r>
      <w:r>
        <w:t xml:space="preserve">para los empleados con acuerdo escrito cargado en el legajo se habilitan dos columnas. En</w:t>
      </w:r>
      <w:r>
        <w:t xml:space="preserve"> </w:t>
      </w:r>
      <w:r>
        <w:rPr>
          <w:b/>
          <w:bCs/>
        </w:rPr>
        <w:t xml:space="preserve">Banco +</w:t>
      </w:r>
      <w:r>
        <w:t xml:space="preserve"> </w:t>
      </w:r>
      <w:r>
        <w:t xml:space="preserve">van las horas extras trabajadas que se guardan en lugar de pagarse. En</w:t>
      </w:r>
      <w:r>
        <w:t xml:space="preserve"> </w:t>
      </w:r>
      <w:r>
        <w:rPr>
          <w:b/>
          <w:bCs/>
        </w:rPr>
        <w:t xml:space="preserve">Banco −</w:t>
      </w:r>
      <w:r>
        <w:t xml:space="preserve"> </w:t>
      </w:r>
      <w:r>
        <w:t xml:space="preserve">van las horas libres que se toma: al jornal se le pagan como horas normales; al mensualizado no le cambia el sueldo. Pasando el mouse por la celda ves el saldo. Si cargás horas de banco a alguien sin acuerdo, la liquidación avisa y no las compensa. La equivalencia es hora por hora; si el acuerdo dice otra cosa, cargá las horas ya convertidas.</w:t>
      </w:r>
    </w:p>
    <w:p>
      <w:pPr>
        <w:pStyle w:val="BodyText"/>
      </w:pPr>
      <w:r>
        <w:rPr>
          <w:b/>
          <w:bCs/>
        </w:rPr>
        <w:t xml:space="preserve">🏖 Traer vacaciones programadas</w:t>
      </w:r>
      <w:r>
        <w:t xml:space="preserve"> </w:t>
      </w:r>
      <w:r>
        <w:t xml:space="preserve">completa la columna</w:t>
      </w:r>
      <w:r>
        <w:t xml:space="preserve"> </w:t>
      </w:r>
      <w:r>
        <w:t xml:space="preserve">“Vacaciones (d)”</w:t>
      </w:r>
      <w:r>
        <w:t xml:space="preserve"> </w:t>
      </w:r>
      <w:r>
        <w:t xml:space="preserve">con los días cargados en Sueldos → Vacaciones que caen en el período. No pisa lo que ya escribiste.</w:t>
      </w:r>
    </w:p>
    <w:bookmarkEnd w:id="61"/>
    <w:bookmarkStart w:id="62" w:name="vacaciones-sueldos-vacaciones"/>
    <w:p>
      <w:pPr>
        <w:pStyle w:val="Heading4"/>
      </w:pPr>
      <w:r>
        <w:t xml:space="preserve">Vacaciones (Sueldos →</w:t>
      </w:r>
      <w:r>
        <w:t xml:space="preserve"> </w:t>
      </w:r>
      <w:r>
        <w:rPr>
          <w:b/>
          <w:bCs/>
        </w:rPr>
        <w:t xml:space="preserve">Vacaciones</w:t>
      </w:r>
      <w:r>
        <w:t xml:space="preserve">)</w:t>
      </w:r>
    </w:p>
    <w:p>
      <w:pPr>
        <w:pStyle w:val="FirstParagraph"/>
      </w:pPr>
      <w:r>
        <w:t xml:space="preserve">Elegí el</w:t>
      </w:r>
      <w:r>
        <w:t xml:space="preserve"> </w:t>
      </w:r>
      <w:r>
        <w:rPr>
          <w:b/>
          <w:bCs/>
        </w:rPr>
        <w:t xml:space="preserve">año vacacional</w:t>
      </w:r>
      <w:r>
        <w:t xml:space="preserve"> </w:t>
      </w:r>
      <w:r>
        <w:t xml:space="preserve">(las vacaciones de un año se toman entre el 1/10 de ese año y el 30/4 del siguiente). Arriba ves, por empleado, cuántos días le corresponden por antigüedad, cuántos tiene programados y el saldo. Con</w:t>
      </w:r>
      <w:r>
        <w:t xml:space="preserve"> </w:t>
      </w:r>
      <w:r>
        <w:rPr>
          <w:b/>
          <w:bCs/>
        </w:rPr>
        <w:t xml:space="preserve">+ Programar</w:t>
      </w:r>
      <w:r>
        <w:t xml:space="preserve"> </w:t>
      </w:r>
      <w:r>
        <w:t xml:space="preserve">cargás un tramo: fechas, fecha de notificación y, si corresponde, el tilde de acuerdo para tomarlas fuera del período legal.</w:t>
      </w:r>
    </w:p>
    <w:p>
      <w:pPr>
        <w:pStyle w:val="BodyText"/>
      </w:pPr>
      <w:r>
        <w:t xml:space="preserve">El sistema valida lo que pide la ley mientras escribís:</w:t>
      </w:r>
    </w:p>
    <w:p>
      <w:pPr>
        <w:pStyle w:val="Compact"/>
        <w:numPr>
          <w:ilvl w:val="0"/>
          <w:numId w:val="1026"/>
        </w:numPr>
      </w:pPr>
      <w:r>
        <w:t xml:space="preserve">Cada tramo tiene que ser de</w:t>
      </w:r>
      <w:r>
        <w:t xml:space="preserve"> </w:t>
      </w:r>
      <w:r>
        <w:rPr>
          <w:b/>
          <w:bCs/>
        </w:rPr>
        <w:t xml:space="preserve">7 días o más</w:t>
      </w:r>
      <w:r>
        <w:t xml:space="preserve">, salvo que sea todo el saldo que le queda.</w:t>
      </w:r>
    </w:p>
    <w:p>
      <w:pPr>
        <w:pStyle w:val="Compact"/>
        <w:numPr>
          <w:ilvl w:val="0"/>
          <w:numId w:val="1026"/>
        </w:numPr>
      </w:pPr>
      <w:r>
        <w:t xml:space="preserve">La notificación escrita tiene que tener</w:t>
      </w:r>
      <w:r>
        <w:t xml:space="preserve"> </w:t>
      </w:r>
      <w:r>
        <w:rPr>
          <w:b/>
          <w:bCs/>
        </w:rPr>
        <w:t xml:space="preserve">30 días de anticipación</w:t>
      </w:r>
      <w:r>
        <w:t xml:space="preserve">.</w:t>
      </w:r>
    </w:p>
    <w:p>
      <w:pPr>
        <w:pStyle w:val="Compact"/>
        <w:numPr>
          <w:ilvl w:val="0"/>
          <w:numId w:val="1026"/>
        </w:numPr>
      </w:pPr>
      <w:r>
        <w:t xml:space="preserve">Fuera del 1/10 al 30/4 hace falta acuerdo con el trabajador.</w:t>
      </w:r>
    </w:p>
    <w:p>
      <w:pPr>
        <w:pStyle w:val="Compact"/>
        <w:numPr>
          <w:ilvl w:val="0"/>
          <w:numId w:val="1026"/>
        </w:numPr>
      </w:pPr>
      <w:r>
        <w:t xml:space="preserve">No puede superar los días que le corresponden.</w:t>
      </w:r>
    </w:p>
    <w:p>
      <w:pPr>
        <w:pStyle w:val="Compact"/>
        <w:numPr>
          <w:ilvl w:val="0"/>
          <w:numId w:val="1026"/>
        </w:numPr>
      </w:pPr>
      <w:r>
        <w:t xml:space="preserve">Avisa si el empleado lleva dos años sin vacaciones en verano: le tocan al menos una vez cada tres años.</w:t>
      </w:r>
    </w:p>
    <w:p>
      <w:pPr>
        <w:pStyle w:val="FirstParagraph"/>
      </w:pPr>
      <w:r>
        <w:rPr>
          <w:b/>
          <w:bCs/>
        </w:rPr>
        <w:t xml:space="preserve">🖨 Notificación</w:t>
      </w:r>
      <w:r>
        <w:t xml:space="preserve"> </w:t>
      </w:r>
      <w:r>
        <w:t xml:space="preserve">imprime la comunicación escrita en original y duplicado, con la fecha de reintegro, y registra la fecha de notificación si estaba vacía. El panel</w:t>
      </w:r>
      <w:r>
        <w:t xml:space="preserve"> </w:t>
      </w:r>
      <w:r>
        <w:t xml:space="preserve">“Para hoy”</w:t>
      </w:r>
      <w:r>
        <w:t xml:space="preserve"> </w:t>
      </w:r>
      <w:r>
        <w:t xml:space="preserve">te avisa de las vacaciones que empiezan dentro de 45 días y todavía no se notificaron.</w:t>
      </w:r>
    </w:p>
    <w:bookmarkEnd w:id="62"/>
    <w:bookmarkStart w:id="63"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27"/>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27"/>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27"/>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27"/>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27"/>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27"/>
        </w:numPr>
      </w:pPr>
      <w:r>
        <w:rPr>
          <w:b/>
          <w:bCs/>
        </w:rPr>
        <w:t xml:space="preserve">Tope del 20 % de descuentos (Ley 27.802):</w:t>
      </w:r>
      <w:r>
        <w:t xml:space="preserve"> </w:t>
      </w:r>
      <w:r>
        <w:t xml:space="preserve">cuotas de préstamo y seguros voluntarios no pueden superar en conjunto el 20 % de lo que cobra el empleado en dinero. Si se pasan, aparece la alerta con el importe máximo; el descuento no se recorta solo, lo decidís vos con la contadora. Los</w:t>
      </w:r>
      <w:r>
        <w:t xml:space="preserve"> </w:t>
      </w:r>
      <w:r>
        <w:rPr>
          <w:b/>
          <w:bCs/>
        </w:rPr>
        <w:t xml:space="preserve">adelantos</w:t>
      </w:r>
      <w:r>
        <w:t xml:space="preserve"> </w:t>
      </w:r>
      <w:r>
        <w:t xml:space="preserve">van aparte: no entran en ese 20 %, pero no pueden superar el 50 % del sueldo del período. Los embargos judiciales siguen su propio régimen.</w:t>
      </w:r>
    </w:p>
    <w:p>
      <w:pPr>
        <w:pStyle w:val="Compact"/>
        <w:numPr>
          <w:ilvl w:val="0"/>
          <w:numId w:val="1027"/>
        </w:numPr>
      </w:pPr>
      <w:r>
        <w:rPr>
          <w:b/>
          <w:bCs/>
        </w:rPr>
        <w:t xml:space="preserve">RIFL:</w:t>
      </w:r>
      <w:r>
        <w:t xml:space="preserve"> </w:t>
      </w:r>
      <w:r>
        <w:t xml:space="preserve">si el legajo tiene fecha de alta bajo RIFL, durante 48 meses las contribuciones salen al 2 % (jubilación, fondo de empleo y asignaciones, todo junto) y 3 % (INSSJP). La alerta te dice en qué mes de los 48 está. El FAL se paga completo.</w:t>
      </w:r>
    </w:p>
    <w:p>
      <w:pPr>
        <w:pStyle w:val="Compact"/>
        <w:numPr>
          <w:ilvl w:val="0"/>
          <w:numId w:val="1027"/>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3"/>
    <w:bookmarkStart w:id="64"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4"/>
    <w:bookmarkStart w:id="65"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 Para los</w:t>
      </w:r>
      <w:r>
        <w:t xml:space="preserve"> </w:t>
      </w:r>
      <w:r>
        <w:rPr>
          <w:b/>
          <w:bCs/>
        </w:rPr>
        <w:t xml:space="preserve">beneficios sociales</w:t>
      </w:r>
      <w:r>
        <w:t xml:space="preserve"> </w:t>
      </w:r>
      <w:r>
        <w:t xml:space="preserve">y reintegros que la Ley 27.802 deja fuera del sueldo (comedor, gastos médicos, ropa de trabajo, guardería, útiles, sepelio, capacitación, uso del auto por km, transporte público, celular e internet, vivienda) están los conceptos 111 a 119, 121 y 122: son no remunerativos, sin aportes ni contribuciones, y se cargan a mano con comprobante.</w:t>
      </w:r>
    </w:p>
    <w:p>
      <w:pPr>
        <w:pStyle w:val="Compact"/>
        <w:numPr>
          <w:ilvl w:val="0"/>
          <w:numId w:val="1028"/>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28"/>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28"/>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5"/>
    <w:bookmarkStart w:id="66" w:name="Xb416bb6d091eb5d6a9265a5eb56ebe2b0cc72c7"/>
    <w:p>
      <w:pPr>
        <w:pStyle w:val="Heading4"/>
      </w:pPr>
      <w:r>
        <w:t xml:space="preserve">Preguntas para la contadora (no bloquean el uso del sistema)</w:t>
      </w:r>
    </w:p>
    <w:p>
      <w:pPr>
        <w:pStyle w:val="Compact"/>
        <w:numPr>
          <w:ilvl w:val="0"/>
          <w:numId w:val="1029"/>
        </w:numPr>
      </w:pPr>
      <w:r>
        <w:t xml:space="preserve">Cómo mapea en el LSD los códigos 224, 225 y 516 del recibo de septiembre de 2026, que no están en el padrón de ARCA.</w:t>
      </w:r>
    </w:p>
    <w:p>
      <w:pPr>
        <w:pStyle w:val="Compact"/>
        <w:numPr>
          <w:ilvl w:val="0"/>
          <w:numId w:val="1029"/>
        </w:numPr>
      </w:pPr>
      <w:r>
        <w:t xml:space="preserve">Porcentaje del aporte solidario UOM para no afiliados y valor vigente del seguro de sepelio.</w:t>
      </w:r>
    </w:p>
    <w:p>
      <w:pPr>
        <w:pStyle w:val="Compact"/>
        <w:numPr>
          <w:ilvl w:val="0"/>
          <w:numId w:val="1029"/>
        </w:numPr>
      </w:pPr>
      <w:r>
        <w:t xml:space="preserve">Si el tope de aportes se controla por quincena o por mes.</w:t>
      </w:r>
    </w:p>
    <w:p>
      <w:pPr>
        <w:pStyle w:val="Compact"/>
        <w:numPr>
          <w:ilvl w:val="0"/>
          <w:numId w:val="1029"/>
        </w:numPr>
      </w:pPr>
      <w:r>
        <w:t xml:space="preserve">Tope indemnizatorio vigente del CCT 260/75 (3 × promedio).</w:t>
      </w:r>
    </w:p>
    <w:p>
      <w:r>
        <w:pict>
          <v:rect style="width:0;height:1.5pt" o:hralign="center" o:hrstd="t" o:hr="t"/>
        </w:pict>
      </w:r>
    </w:p>
    <w:bookmarkEnd w:id="66"/>
    <w:bookmarkEnd w:id="67"/>
    <w:bookmarkEnd w:id="68"/>
    <w:bookmarkStart w:id="72"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9"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9"/>
    <w:bookmarkStart w:id="70" w:name="usuarios-y-permisos-admin"/>
    <w:p>
      <w:pPr>
        <w:pStyle w:val="Heading3"/>
      </w:pPr>
      <w:r>
        <w:t xml:space="preserve">12.2 Usuarios y permisos (admin)</w:t>
      </w:r>
    </w:p>
    <w:p>
      <w:pPr>
        <w:pStyle w:val="Compact"/>
        <w:numPr>
          <w:ilvl w:val="0"/>
          <w:numId w:val="1030"/>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30"/>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70"/>
    <w:bookmarkStart w:id="71"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1"/>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1"/>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1"/>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1"/>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1"/>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1"/>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1"/>
    <w:bookmarkEnd w:id="72"/>
    <w:bookmarkStart w:id="77"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73"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3"/>
    <w:bookmarkStart w:id="74"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4"/>
    <w:bookmarkStart w:id="75"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5"/>
    <w:bookmarkStart w:id="76"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6"/>
    <w:bookmarkEnd w:id="77"/>
    <w:bookmarkStart w:id="78"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8"/>
    <w:bookmarkStart w:id="79"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2026-09-30T13:39:20Z</dcterms:created>
  <dcterms:modified xsi:type="dcterms:W3CDTF">2026-09-30T13:39:20Z</dcterms:modified>
</cp:coreProperties>
</file>

<file path=docProps/custom.xml><?xml version="1.0" encoding="utf-8"?>
<Properties xmlns="http://schemas.openxmlformats.org/officeDocument/2006/custom-properties" xmlns:vt="http://schemas.openxmlformats.org/officeDocument/2006/docPropsVTypes"/>
</file>