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w:t>
            </w:r>
          </w:p>
        </w:tc>
      </w:tr>
      <w:tr>
        <w:tc>
          <w:tcPr/>
          <w:p>
            <w:pPr>
              <w:pStyle w:val="Compact"/>
            </w:pPr>
            <w:r>
              <w:rPr>
                <w:b/>
                <w:bCs/>
              </w:rPr>
              <w:t xml:space="preserve">Ventas</w:t>
            </w:r>
          </w:p>
        </w:tc>
        <w:tc>
          <w:tcPr/>
          <w:p>
            <w:pPr>
              <w:pStyle w:val="Compact"/>
            </w:pPr>
            <w:r>
              <w:t xml:space="preserve">Presupuestos, Ventas, Clientes, Cuenta corriente</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2"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w:t>
      </w:r>
      <w:r>
        <w:t xml:space="preserve">y no deja registrar (aunque el estado de la OC diga</w:t>
      </w:r>
      <w:r>
        <w:t xml:space="preserve"> </w:t>
      </w:r>
      <w:r>
        <w:t xml:space="preserve">“recibida”</w:t>
      </w:r>
      <w:r>
        <w:t xml:space="preserve">): cerrá el modal, registrá la recepción con</w:t>
      </w:r>
      <w:r>
        <w:t xml:space="preserve"> </w:t>
      </w:r>
      <w:r>
        <w:rPr>
          <w:b/>
          <w:bCs/>
        </w:rPr>
        <w:t xml:space="preserve">Recibir</w:t>
      </w:r>
      <w:r>
        <w:t xml:space="preserve"> </w:t>
      </w:r>
      <w:r>
        <w:t xml:space="preserve">y volvé. Un administrador puede registrar igual justificando el override (para material que entró antes de usar el sistema).</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r>
        <w:pict>
          <v:rect style="width:0;height:1.5pt" o:hralign="center" o:hrstd="t" o:hr="t"/>
        </w:pict>
      </w:r>
    </w:p>
    <w:bookmarkEnd w:id="30"/>
    <w:bookmarkEnd w:id="31"/>
    <w:bookmarkEnd w:id="32"/>
    <w:bookmarkStart w:id="38"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3"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2"/>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2"/>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2"/>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2"/>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2"/>
        </w:numPr>
      </w:pPr>
      <w:r>
        <w:rPr>
          <w:b/>
          <w:bCs/>
        </w:rPr>
        <w:t xml:space="preserve">Importar Excel:</w:t>
      </w:r>
      <w:r>
        <w:t xml:space="preserve"> </w:t>
      </w:r>
      <w:r>
        <w:t xml:space="preserve">para cargar muchos de una. Detecta duplicados por CUIT (o por nombre).</w:t>
      </w:r>
    </w:p>
    <w:p>
      <w:pPr>
        <w:numPr>
          <w:ilvl w:val="0"/>
          <w:numId w:val="1012"/>
        </w:numPr>
      </w:pPr>
      <w:r>
        <w:rPr>
          <w:b/>
          <w:bCs/>
        </w:rPr>
        <w:t xml:space="preserve">Ficha del cliente:</w:t>
      </w:r>
      <w:r>
        <w:t xml:space="preserve"> </w:t>
      </w:r>
      <w:r>
        <w:t xml:space="preserve">tocá el nombre para ver su historial completo (presupuestos, ventas, facturas, pagos).</w:t>
      </w:r>
    </w:p>
    <w:p>
      <w:pPr>
        <w:numPr>
          <w:ilvl w:val="0"/>
          <w:numId w:val="1012"/>
        </w:numPr>
      </w:pPr>
      <w:r>
        <w:rPr>
          <w:b/>
          <w:bCs/>
        </w:rPr>
        <w:t xml:space="preserve">Exportar:</w:t>
      </w:r>
      <w:r>
        <w:t xml:space="preserve"> </w:t>
      </w:r>
      <w:r>
        <w:t xml:space="preserve">botón</w:t>
      </w:r>
      <w:r>
        <w:t xml:space="preserve"> </w:t>
      </w:r>
      <w:r>
        <w:rPr>
          <w:b/>
          <w:bCs/>
        </w:rPr>
        <w:t xml:space="preserve">Excel</w:t>
      </w:r>
      <w:r>
        <w:t xml:space="preserve">.</w:t>
      </w:r>
    </w:p>
    <w:bookmarkEnd w:id="33"/>
    <w:bookmarkStart w:id="34"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4"/>
    <w:bookmarkStart w:id="35"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5"/>
    <w:bookmarkStart w:id="36" w:name="cuenta-corriente"/>
    <w:p>
      <w:pPr>
        <w:pStyle w:val="Heading3"/>
      </w:pPr>
      <w:r>
        <w:t xml:space="preserve">8.4 Cuenta corriente</w:t>
      </w:r>
    </w:p>
    <w:p>
      <w:pPr>
        <w:pStyle w:val="FirstParagraph"/>
      </w:pPr>
      <w:r>
        <w:t xml:space="preserve">Muestra cuánto te debe cada cliente y desde hace cuánto.</w:t>
      </w:r>
    </w:p>
    <w:p>
      <w:pPr>
        <w:pStyle w:val="Compact"/>
        <w:numPr>
          <w:ilvl w:val="0"/>
          <w:numId w:val="1013"/>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3"/>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3"/>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3"/>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6"/>
    <w:bookmarkStart w:id="37" w:name="Xf0886934132c9b4757c37c042c9c0a13efdc437"/>
    <w:p>
      <w:pPr>
        <w:pStyle w:val="Heading3"/>
      </w:pPr>
      <w:r>
        <w:t xml:space="preserve">8.5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7"/>
    <w:bookmarkEnd w:id="38"/>
    <w:bookmarkStart w:id="41" w:name="análisis-costos-y-trazabilidad"/>
    <w:p>
      <w:pPr>
        <w:pStyle w:val="Heading2"/>
      </w:pPr>
      <w:r>
        <w:t xml:space="preserve">9. Análisis (costos y trazabilidad)</w:t>
      </w:r>
    </w:p>
    <w:bookmarkStart w:id="39"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4"/>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4"/>
        </w:numPr>
      </w:pPr>
      <w:r>
        <w:t xml:space="preserve">Tocá</w:t>
      </w:r>
      <w:r>
        <w:t xml:space="preserve"> </w:t>
      </w:r>
      <w:r>
        <w:rPr>
          <w:b/>
          <w:bCs/>
        </w:rPr>
        <w:t xml:space="preserve">↻ Recalcular</w:t>
      </w:r>
      <w:r>
        <w:t xml:space="preserve">.</w:t>
      </w:r>
    </w:p>
    <w:p>
      <w:pPr>
        <w:pStyle w:val="Compact"/>
        <w:numPr>
          <w:ilvl w:val="0"/>
          <w:numId w:val="1014"/>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39"/>
    <w:bookmarkStart w:id="40"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0"/>
    <w:bookmarkEnd w:id="41"/>
    <w:bookmarkStart w:id="48"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2"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2"/>
    <w:bookmarkStart w:id="43"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3"/>
    <w:bookmarkStart w:id="44"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4"/>
    <w:bookmarkStart w:id="45"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5"/>
    <w:bookmarkStart w:id="46"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5"/>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5"/>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5"/>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5"/>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6"/>
    <w:bookmarkStart w:id="47"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7"/>
    <w:bookmarkEnd w:id="48"/>
    <w:bookmarkStart w:id="57"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49"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6"/>
        </w:numPr>
      </w:pPr>
      <w:r>
        <w:rPr>
          <w:b/>
          <w:bCs/>
        </w:rPr>
        <w:t xml:space="preserve">Expandir / Colapsar</w:t>
      </w:r>
      <w:r>
        <w:t xml:space="preserve"> </w:t>
      </w:r>
      <w:r>
        <w:t xml:space="preserve">los grupos.</w:t>
      </w:r>
    </w:p>
    <w:p>
      <w:pPr>
        <w:pStyle w:val="Compact"/>
        <w:numPr>
          <w:ilvl w:val="0"/>
          <w:numId w:val="1016"/>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6"/>
        </w:numPr>
      </w:pPr>
      <w:r>
        <w:t xml:space="preserve">Filtrá por tipo, activa o ajustable.</w:t>
      </w:r>
    </w:p>
    <w:bookmarkEnd w:id="49"/>
    <w:bookmarkStart w:id="50"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0"/>
    <w:bookmarkStart w:id="51"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7"/>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w:t>
      </w:r>
    </w:p>
    <w:p>
      <w:pPr>
        <w:pStyle w:val="Compact"/>
        <w:numPr>
          <w:ilvl w:val="0"/>
          <w:numId w:val="1017"/>
        </w:numPr>
      </w:pPr>
      <w:r>
        <w:t xml:space="preserve">Completá</w:t>
      </w:r>
      <w:r>
        <w:t xml:space="preserve"> </w:t>
      </w:r>
      <w:r>
        <w:rPr>
          <w:b/>
          <w:bCs/>
        </w:rPr>
        <w:t xml:space="preserve">Fecha</w:t>
      </w:r>
      <w:r>
        <w:t xml:space="preserve">,</w:t>
      </w:r>
      <w:r>
        <w:t xml:space="preserve"> </w:t>
      </w:r>
      <w:r>
        <w:rPr>
          <w:b/>
          <w:bCs/>
        </w:rPr>
        <w:t xml:space="preserve">Tercero</w:t>
      </w:r>
      <w:r>
        <w:t xml:space="preserve"> </w:t>
      </w:r>
      <w:r>
        <w:t xml:space="preserve">(cliente/proveedor),</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7"/>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o proveedores) y el cobro se imputa</w:t>
      </w:r>
      <w:r>
        <w:t xml:space="preserve"> </w:t>
      </w:r>
      <w:r>
        <w:rPr>
          <w:b/>
          <w:bCs/>
        </w:rPr>
        <w:t xml:space="preserve">FIFO</w:t>
      </w:r>
      <w:r>
        <w:t xml:space="preserve"> </w:t>
      </w:r>
      <w:r>
        <w:t xml:space="preserve">a las facturas más viejas.</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1"/>
    <w:bookmarkStart w:id="52"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2"/>
    <w:bookmarkStart w:id="53"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3"/>
    <w:bookmarkStart w:id="54"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4"/>
    <w:bookmarkStart w:id="55" w:name="conciliación-bancaria"/>
    <w:p>
      <w:pPr>
        <w:pStyle w:val="Heading3"/>
      </w:pPr>
      <w:r>
        <w:t xml:space="preserve">11.7 Conciliación bancaria</w:t>
      </w:r>
    </w:p>
    <w:p>
      <w:pPr>
        <w:pStyle w:val="Compact"/>
        <w:numPr>
          <w:ilvl w:val="0"/>
          <w:numId w:val="1018"/>
        </w:numPr>
      </w:pPr>
      <w:r>
        <w:t xml:space="preserve">Definí las</w:t>
      </w:r>
      <w:r>
        <w:t xml:space="preserve"> </w:t>
      </w:r>
      <w:r>
        <w:rPr>
          <w:b/>
          <w:bCs/>
        </w:rPr>
        <w:t xml:space="preserve">cuentas bancarias</w:t>
      </w:r>
      <w:r>
        <w:t xml:space="preserve">.</w:t>
      </w:r>
    </w:p>
    <w:p>
      <w:pPr>
        <w:pStyle w:val="Compact"/>
        <w:numPr>
          <w:ilvl w:val="0"/>
          <w:numId w:val="1018"/>
        </w:numPr>
      </w:pPr>
      <w:r>
        <w:rPr>
          <w:b/>
          <w:bCs/>
        </w:rPr>
        <w:t xml:space="preserve">Importá el extracto</w:t>
      </w:r>
      <w:r>
        <w:t xml:space="preserve"> </w:t>
      </w:r>
      <w:r>
        <w:t xml:space="preserve">del banco (CSV/XLS).</w:t>
      </w:r>
    </w:p>
    <w:p>
      <w:pPr>
        <w:pStyle w:val="Compact"/>
        <w:numPr>
          <w:ilvl w:val="0"/>
          <w:numId w:val="1018"/>
        </w:numPr>
      </w:pPr>
      <w:r>
        <w:rPr>
          <w:b/>
          <w:bCs/>
        </w:rPr>
        <w:t xml:space="preserve">Conciliá:</w:t>
      </w:r>
      <w:r>
        <w:t xml:space="preserve"> </w:t>
      </w:r>
      <w:r>
        <w:t xml:space="preserve">emparejá cada línea del extracto con su asiento. Los no conciliados quedan marcados.</w:t>
      </w:r>
    </w:p>
    <w:bookmarkEnd w:id="55"/>
    <w:bookmarkStart w:id="56" w:name="cierre-períodos-y-ajuste-por-inflación"/>
    <w:p>
      <w:pPr>
        <w:pStyle w:val="Heading3"/>
      </w:pPr>
      <w:r>
        <w:t xml:space="preserve">11.8 Cierre, períodos y ajuste por inflación</w:t>
      </w:r>
    </w:p>
    <w:p>
      <w:pPr>
        <w:pStyle w:val="Compact"/>
        <w:numPr>
          <w:ilvl w:val="0"/>
          <w:numId w:val="1019"/>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19"/>
        </w:numPr>
      </w:pPr>
      <w:r>
        <w:rPr>
          <w:b/>
          <w:bCs/>
        </w:rPr>
        <w:t xml:space="preserve">Índices IPC:</w:t>
      </w:r>
      <w:r>
        <w:t xml:space="preserve"> </w:t>
      </w:r>
      <w:r>
        <w:t xml:space="preserve">cargá el IPC del INDEC mes a mes. Es la base para el ajuste por inflación.</w:t>
      </w:r>
    </w:p>
    <w:p>
      <w:pPr>
        <w:pStyle w:val="Compact"/>
        <w:numPr>
          <w:ilvl w:val="0"/>
          <w:numId w:val="1019"/>
        </w:numPr>
      </w:pPr>
      <w:r>
        <w:rPr>
          <w:b/>
          <w:bCs/>
        </w:rPr>
        <w:t xml:space="preserve">Ajuste por inflación (RT 6):</w:t>
      </w:r>
      <w:r>
        <w:t xml:space="preserve"> </w:t>
      </w:r>
      <w:r>
        <w:t xml:space="preserve">elegí el período,</w:t>
      </w:r>
      <w:r>
        <w:t xml:space="preserve"> </w:t>
      </w:r>
      <w:r>
        <w:rPr>
          <w:b/>
          <w:bCs/>
        </w:rPr>
        <w:t xml:space="preserve">Calcular preview</w:t>
      </w:r>
      <w:r>
        <w:t xml:space="preserve">, revisá y</w:t>
      </w:r>
      <w:r>
        <w:t xml:space="preserve"> </w:t>
      </w:r>
      <w:r>
        <w:rPr>
          <w:b/>
          <w:bCs/>
        </w:rPr>
        <w:t xml:space="preserve">Generar asiento</w:t>
      </w:r>
      <w:r>
        <w:t xml:space="preserve"> </w:t>
      </w:r>
      <w:r>
        <w:t xml:space="preserve">(reexpresa las cuentas no monetarias contra RECPAM). Necesitás al menos 2 meses de IPC cargados.</w:t>
      </w:r>
    </w:p>
    <w:p>
      <w:pPr>
        <w:pStyle w:val="Compact"/>
        <w:numPr>
          <w:ilvl w:val="0"/>
          <w:numId w:val="1019"/>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r>
        <w:pict>
          <v:rect style="width:0;height:1.5pt" o:hralign="center" o:hrstd="t" o:hr="t"/>
        </w:pict>
      </w:r>
    </w:p>
    <w:bookmarkEnd w:id="56"/>
    <w:bookmarkEnd w:id="57"/>
    <w:bookmarkStart w:id="61"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58"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58"/>
    <w:bookmarkStart w:id="59" w:name="usuarios-y-permisos-admin"/>
    <w:p>
      <w:pPr>
        <w:pStyle w:val="Heading3"/>
      </w:pPr>
      <w:r>
        <w:t xml:space="preserve">12.2 Usuarios y permisos (admin)</w:t>
      </w:r>
    </w:p>
    <w:p>
      <w:pPr>
        <w:pStyle w:val="Compact"/>
        <w:numPr>
          <w:ilvl w:val="0"/>
          <w:numId w:val="1020"/>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20"/>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59"/>
    <w:bookmarkStart w:id="60"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21"/>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21"/>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21"/>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21"/>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21"/>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60"/>
    <w:bookmarkEnd w:id="61"/>
    <w:bookmarkStart w:id="66"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62"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62"/>
    <w:bookmarkStart w:id="63"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63"/>
    <w:bookmarkStart w:id="64"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64"/>
    <w:bookmarkStart w:id="65"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65"/>
    <w:bookmarkEnd w:id="66"/>
    <w:bookmarkStart w:id="67"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67"/>
    <w:bookmarkStart w:id="68"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2026-08-03T14:40:42Z</dcterms:created>
  <dcterms:modified xsi:type="dcterms:W3CDTF">2026-08-03T14:40:42Z</dcterms:modified>
</cp:coreProperties>
</file>

<file path=docProps/custom.xml><?xml version="1.0" encoding="utf-8"?>
<Properties xmlns="http://schemas.openxmlformats.org/officeDocument/2006/custom-properties" xmlns:vt="http://schemas.openxmlformats.org/officeDocument/2006/docPropsVTypes"/>
</file>