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7"/>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7"/>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8"/>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8"/>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8"/>
        </w:numPr>
      </w:pPr>
      <w:r>
        <w:rPr>
          <w:b/>
          <w:bCs/>
        </w:rPr>
        <w:t xml:space="preserve">Resultado:</w:t>
      </w:r>
      <w:r>
        <w:t xml:space="preserve"> </w:t>
      </w:r>
      <w:r>
        <w:t xml:space="preserve">conforme / no conforme.</w:t>
      </w:r>
    </w:p>
    <w:p>
      <w:pPr>
        <w:pStyle w:val="Compact"/>
        <w:numPr>
          <w:ilvl w:val="0"/>
          <w:numId w:val="1008"/>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8"/>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1"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30"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29"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09"/>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09"/>
        </w:numPr>
      </w:pPr>
      <w:r>
        <w:rPr>
          <w:b/>
          <w:bCs/>
        </w:rPr>
        <w:t xml:space="preserve">No gravado / Exento</w:t>
      </w:r>
      <w:r>
        <w:t xml:space="preserve">: campos aparte, salen en el Libro IVA.</w:t>
      </w:r>
    </w:p>
    <w:p>
      <w:pPr>
        <w:pStyle w:val="Compact"/>
        <w:numPr>
          <w:ilvl w:val="0"/>
          <w:numId w:val="1009"/>
        </w:numPr>
      </w:pPr>
      <w:r>
        <w:rPr>
          <w:b/>
          <w:bCs/>
        </w:rPr>
        <w:t xml:space="preserve">Percepciones</w:t>
      </w:r>
      <w:r>
        <w:t xml:space="preserve">: IVA, IIBB (con jurisdicción) y Ganancias. Se contabilizan como crédito en sus cuentas (113007 / 113010 / 113011).</w:t>
      </w:r>
    </w:p>
    <w:p>
      <w:pPr>
        <w:pStyle w:val="Compact"/>
        <w:numPr>
          <w:ilvl w:val="0"/>
          <w:numId w:val="1009"/>
        </w:numPr>
      </w:pPr>
      <w:r>
        <w:rPr>
          <w:b/>
          <w:bCs/>
        </w:rPr>
        <w:t xml:space="preserve">El total tiene que cerrar</w:t>
      </w:r>
      <w:r>
        <w:t xml:space="preserve">: el sistema no deja guardar si la suma de componentes no coincide con el total del comprobante.</w:t>
      </w:r>
    </w:p>
    <w:p>
      <w:pPr>
        <w:pStyle w:val="Compact"/>
        <w:numPr>
          <w:ilvl w:val="0"/>
          <w:numId w:val="1009"/>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09"/>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29"/>
    <w:bookmarkEnd w:id="30"/>
    <w:bookmarkEnd w:id="31"/>
    <w:bookmarkStart w:id="37"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2"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0"/>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0"/>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0"/>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0"/>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0"/>
        </w:numPr>
      </w:pPr>
      <w:r>
        <w:rPr>
          <w:b/>
          <w:bCs/>
        </w:rPr>
        <w:t xml:space="preserve">Importar Excel:</w:t>
      </w:r>
      <w:r>
        <w:t xml:space="preserve"> </w:t>
      </w:r>
      <w:r>
        <w:t xml:space="preserve">para cargar muchos de una. Detecta duplicados por CUIT (o por nombre).</w:t>
      </w:r>
    </w:p>
    <w:p>
      <w:pPr>
        <w:numPr>
          <w:ilvl w:val="0"/>
          <w:numId w:val="1010"/>
        </w:numPr>
      </w:pPr>
      <w:r>
        <w:rPr>
          <w:b/>
          <w:bCs/>
        </w:rPr>
        <w:t xml:space="preserve">Ficha del cliente:</w:t>
      </w:r>
      <w:r>
        <w:t xml:space="preserve"> </w:t>
      </w:r>
      <w:r>
        <w:t xml:space="preserve">tocá el nombre para ver su historial completo (presupuestos, ventas, facturas, pagos).</w:t>
      </w:r>
    </w:p>
    <w:p>
      <w:pPr>
        <w:numPr>
          <w:ilvl w:val="0"/>
          <w:numId w:val="1010"/>
        </w:numPr>
      </w:pPr>
      <w:r>
        <w:rPr>
          <w:b/>
          <w:bCs/>
        </w:rPr>
        <w:t xml:space="preserve">Exportar:</w:t>
      </w:r>
      <w:r>
        <w:t xml:space="preserve"> </w:t>
      </w:r>
      <w:r>
        <w:t xml:space="preserve">botón</w:t>
      </w:r>
      <w:r>
        <w:t xml:space="preserve"> </w:t>
      </w:r>
      <w:r>
        <w:rPr>
          <w:b/>
          <w:bCs/>
        </w:rPr>
        <w:t xml:space="preserve">Excel</w:t>
      </w:r>
      <w:r>
        <w:t xml:space="preserve">.</w:t>
      </w:r>
    </w:p>
    <w:bookmarkEnd w:id="32"/>
    <w:bookmarkStart w:id="33"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3"/>
    <w:bookmarkStart w:id="34"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4"/>
    <w:bookmarkStart w:id="35"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1"/>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1"/>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1"/>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1"/>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5"/>
    <w:bookmarkStart w:id="36"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6"/>
    <w:bookmarkEnd w:id="37"/>
    <w:bookmarkStart w:id="40" w:name="análisis-costos-y-trazabilidad"/>
    <w:p>
      <w:pPr>
        <w:pStyle w:val="Heading2"/>
      </w:pPr>
      <w:r>
        <w:t xml:space="preserve">9. Análisis (costos y trazabilidad)</w:t>
      </w:r>
    </w:p>
    <w:bookmarkStart w:id="38"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2"/>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2"/>
        </w:numPr>
      </w:pPr>
      <w:r>
        <w:t xml:space="preserve">Tocá</w:t>
      </w:r>
      <w:r>
        <w:t xml:space="preserve"> </w:t>
      </w:r>
      <w:r>
        <w:rPr>
          <w:b/>
          <w:bCs/>
        </w:rPr>
        <w:t xml:space="preserve">↻ Recalcular</w:t>
      </w:r>
      <w:r>
        <w:t xml:space="preserve">.</w:t>
      </w:r>
    </w:p>
    <w:p>
      <w:pPr>
        <w:pStyle w:val="Compact"/>
        <w:numPr>
          <w:ilvl w:val="0"/>
          <w:numId w:val="1012"/>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8"/>
    <w:bookmarkStart w:id="39"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9"/>
    <w:bookmarkEnd w:id="40"/>
    <w:bookmarkStart w:id="47"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1"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1"/>
    <w:bookmarkStart w:id="42"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2"/>
    <w:bookmarkStart w:id="43"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3"/>
    <w:bookmarkStart w:id="44"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4"/>
    <w:bookmarkStart w:id="45"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3"/>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3"/>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3"/>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3"/>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5"/>
    <w:bookmarkStart w:id="46"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6"/>
    <w:bookmarkEnd w:id="47"/>
    <w:bookmarkStart w:id="56"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8"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4"/>
        </w:numPr>
      </w:pPr>
      <w:r>
        <w:rPr>
          <w:b/>
          <w:bCs/>
        </w:rPr>
        <w:t xml:space="preserve">Expandir / Colapsar</w:t>
      </w:r>
      <w:r>
        <w:t xml:space="preserve"> </w:t>
      </w:r>
      <w:r>
        <w:t xml:space="preserve">los grupos.</w:t>
      </w:r>
    </w:p>
    <w:p>
      <w:pPr>
        <w:pStyle w:val="Compact"/>
        <w:numPr>
          <w:ilvl w:val="0"/>
          <w:numId w:val="1014"/>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4"/>
        </w:numPr>
      </w:pPr>
      <w:r>
        <w:t xml:space="preserve">Filtrá por tipo, activa o ajustable.</w:t>
      </w:r>
    </w:p>
    <w:bookmarkEnd w:id="48"/>
    <w:bookmarkStart w:id="49"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9"/>
    <w:bookmarkStart w:id="50"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5"/>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5"/>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5"/>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0"/>
    <w:bookmarkStart w:id="51"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1"/>
    <w:bookmarkStart w:id="52"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2"/>
    <w:bookmarkStart w:id="53"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3"/>
    <w:bookmarkStart w:id="54" w:name="conciliación-bancaria"/>
    <w:p>
      <w:pPr>
        <w:pStyle w:val="Heading3"/>
      </w:pPr>
      <w:r>
        <w:t xml:space="preserve">11.7 Conciliación bancaria</w:t>
      </w:r>
    </w:p>
    <w:p>
      <w:pPr>
        <w:pStyle w:val="Compact"/>
        <w:numPr>
          <w:ilvl w:val="0"/>
          <w:numId w:val="1016"/>
        </w:numPr>
      </w:pPr>
      <w:r>
        <w:t xml:space="preserve">Definí las</w:t>
      </w:r>
      <w:r>
        <w:t xml:space="preserve"> </w:t>
      </w:r>
      <w:r>
        <w:rPr>
          <w:b/>
          <w:bCs/>
        </w:rPr>
        <w:t xml:space="preserve">cuentas bancarias</w:t>
      </w:r>
      <w:r>
        <w:t xml:space="preserve">.</w:t>
      </w:r>
    </w:p>
    <w:p>
      <w:pPr>
        <w:pStyle w:val="Compact"/>
        <w:numPr>
          <w:ilvl w:val="0"/>
          <w:numId w:val="1016"/>
        </w:numPr>
      </w:pPr>
      <w:r>
        <w:rPr>
          <w:b/>
          <w:bCs/>
        </w:rPr>
        <w:t xml:space="preserve">Importá el extracto</w:t>
      </w:r>
      <w:r>
        <w:t xml:space="preserve"> </w:t>
      </w:r>
      <w:r>
        <w:t xml:space="preserve">del banco (CSV/XLS).</w:t>
      </w:r>
    </w:p>
    <w:p>
      <w:pPr>
        <w:pStyle w:val="Compact"/>
        <w:numPr>
          <w:ilvl w:val="0"/>
          <w:numId w:val="1016"/>
        </w:numPr>
      </w:pPr>
      <w:r>
        <w:rPr>
          <w:b/>
          <w:bCs/>
        </w:rPr>
        <w:t xml:space="preserve">Conciliá:</w:t>
      </w:r>
      <w:r>
        <w:t xml:space="preserve"> </w:t>
      </w:r>
      <w:r>
        <w:t xml:space="preserve">emparejá cada línea del extracto con su asiento. Los no conciliados quedan marcados.</w:t>
      </w:r>
    </w:p>
    <w:bookmarkEnd w:id="54"/>
    <w:bookmarkStart w:id="55" w:name="cierre-períodos-y-ajuste-por-inflación"/>
    <w:p>
      <w:pPr>
        <w:pStyle w:val="Heading3"/>
      </w:pPr>
      <w:r>
        <w:t xml:space="preserve">11.8 Cierre, períodos y ajuste por inflación</w:t>
      </w:r>
    </w:p>
    <w:p>
      <w:pPr>
        <w:pStyle w:val="Compact"/>
        <w:numPr>
          <w:ilvl w:val="0"/>
          <w:numId w:val="1017"/>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7"/>
        </w:numPr>
      </w:pPr>
      <w:r>
        <w:rPr>
          <w:b/>
          <w:bCs/>
        </w:rPr>
        <w:t xml:space="preserve">Índices IPC:</w:t>
      </w:r>
      <w:r>
        <w:t xml:space="preserve"> </w:t>
      </w:r>
      <w:r>
        <w:t xml:space="preserve">cargá el IPC del INDEC mes a mes. Es la base para el ajuste por inflación.</w:t>
      </w:r>
    </w:p>
    <w:p>
      <w:pPr>
        <w:pStyle w:val="Compact"/>
        <w:numPr>
          <w:ilvl w:val="0"/>
          <w:numId w:val="1017"/>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7"/>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5"/>
    <w:bookmarkEnd w:id="56"/>
    <w:bookmarkStart w:id="60"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7"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7"/>
    <w:bookmarkStart w:id="58" w:name="usuarios-y-permisos-admin"/>
    <w:p>
      <w:pPr>
        <w:pStyle w:val="Heading3"/>
      </w:pPr>
      <w:r>
        <w:t xml:space="preserve">12.2 Usuarios y permisos (admin)</w:t>
      </w:r>
    </w:p>
    <w:p>
      <w:pPr>
        <w:pStyle w:val="Compact"/>
        <w:numPr>
          <w:ilvl w:val="0"/>
          <w:numId w:val="1018"/>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8"/>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8"/>
    <w:bookmarkStart w:id="59"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9"/>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19"/>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9"/>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19"/>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19"/>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9"/>
    <w:bookmarkEnd w:id="60"/>
    <w:bookmarkStart w:id="65"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1"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1"/>
    <w:bookmarkStart w:id="62"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2"/>
    <w:bookmarkStart w:id="63"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3"/>
    <w:bookmarkStart w:id="64"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4"/>
    <w:bookmarkEnd w:id="65"/>
    <w:bookmarkStart w:id="66"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6"/>
    <w:bookmarkStart w:id="67"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2026-07-31T19:52:39Z</dcterms:created>
  <dcterms:modified xsi:type="dcterms:W3CDTF">2026-07-31T19:52:39Z</dcterms:modified>
</cp:coreProperties>
</file>

<file path=docProps/custom.xml><?xml version="1.0" encoding="utf-8"?>
<Properties xmlns="http://schemas.openxmlformats.org/officeDocument/2006/custom-properties" xmlns:vt="http://schemas.openxmlformats.org/officeDocument/2006/docPropsVTypes"/>
</file>