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w:t>
            </w:r>
          </w:p>
        </w:tc>
      </w:tr>
      <w:tr>
        <w:tc>
          <w:tcPr/>
          <w:p>
            <w:pPr>
              <w:pStyle w:val="Compact"/>
            </w:pPr>
            <w:r>
              <w:rPr>
                <w:b/>
                <w:bCs/>
              </w:rPr>
              <w:t xml:space="preserve">Ventas</w:t>
            </w:r>
          </w:p>
        </w:tc>
        <w:tc>
          <w:tcPr/>
          <w:p>
            <w:pPr>
              <w:pStyle w:val="Compact"/>
            </w:pPr>
            <w:r>
              <w:t xml:space="preserve">Presupuestos, Ventas, Clientes, Cuenta corriente</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pPr>
        <w:pStyle w:val="FirstParagraph"/>
      </w:pPr>
      <w:r>
        <w:t xml:space="preserve">Al final del tablero hay dos paneles de gestión:</w:t>
      </w:r>
    </w:p>
    <w:p>
      <w:pPr>
        <w:pStyle w:val="Compact"/>
        <w:numPr>
          <w:ilvl w:val="0"/>
          <w:numId w:val="1007"/>
        </w:numPr>
      </w:pPr>
      <w:r>
        <w:rPr>
          <w:b/>
          <w:bCs/>
        </w:rPr>
        <w:t xml:space="preserve">Facturación mensual (12 meses):</w:t>
      </w:r>
      <w:r>
        <w:t xml:space="preserve"> </w:t>
      </w:r>
      <w:r>
        <w:t xml:space="preserve">gráfico de barras con los pedidos registrados por mes en USD, más la comparativa</w:t>
      </w:r>
      <w:r>
        <w:t xml:space="preserve"> </w:t>
      </w:r>
      <w:r>
        <w:rPr>
          <w:b/>
          <w:bCs/>
        </w:rPr>
        <w:t xml:space="preserve">este mes vs el anterior</w:t>
      </w:r>
      <w:r>
        <w:t xml:space="preserve"> </w:t>
      </w:r>
      <w:r>
        <w:t xml:space="preserve">con su variación %.</w:t>
      </w:r>
    </w:p>
    <w:p>
      <w:pPr>
        <w:pStyle w:val="Compact"/>
        <w:numPr>
          <w:ilvl w:val="0"/>
          <w:numId w:val="1007"/>
        </w:numPr>
      </w:pPr>
      <w:r>
        <w:rPr>
          <w:b/>
          <w:bCs/>
        </w:rPr>
        <w:t xml:space="preserve">Cash-flow proyectado:</w:t>
      </w:r>
      <w:r>
        <w:t xml:space="preserve"> </w:t>
      </w:r>
      <w:r>
        <w:t xml:space="preserve">cuánto entra y cuánto sale en las ventanas</w:t>
      </w:r>
      <w:r>
        <w:t xml:space="preserve"> </w:t>
      </w:r>
      <w:r>
        <w:rPr>
          <w:b/>
          <w:bCs/>
        </w:rPr>
        <w:t xml:space="preserve">vencido / 30 / 60 / 90 días</w:t>
      </w:r>
      <w:r>
        <w:t xml:space="preserve">, y la</w:t>
      </w:r>
      <w:r>
        <w:t xml:space="preserve"> </w:t>
      </w:r>
      <w:r>
        <w:rPr>
          <w:b/>
          <w:bCs/>
        </w:rPr>
        <w:t xml:space="preserve">posición neta a 90 días</w:t>
      </w:r>
      <w:r>
        <w:t xml:space="preserve">. Entradas: cuenta corriente pendiente por vencimiento + cheques en cartera. Salidas: facturas de proveedor por vencimiento + cheques emitidos. Es la respuesta a</w:t>
      </w:r>
      <w:r>
        <w:t xml:space="preserve"> </w:t>
      </w:r>
      <w:r>
        <w:t xml:space="preserve">“¿me alcanza la plata?”</w:t>
      </w:r>
      <w:r>
        <w:t xml:space="preserve"> </w:t>
      </w:r>
      <w:r>
        <w:t xml:space="preserve">antes de que duela.</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8"/>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8"/>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6"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planos"/>
    <w:p>
      <w:pPr>
        <w:pStyle w:val="Heading3"/>
      </w:pPr>
      <w:r>
        <w:t xml:space="preserve">Planos</w:t>
      </w:r>
    </w:p>
    <w:p>
      <w:pPr>
        <w:pStyle w:val="FirstParagraph"/>
      </w:pPr>
      <w:r>
        <w:t xml:space="preserve">La pestaña</w:t>
      </w:r>
      <w:r>
        <w:t xml:space="preserve"> </w:t>
      </w:r>
      <w:r>
        <w:rPr>
          <w:b/>
          <w:bCs/>
        </w:rPr>
        <w:t xml:space="preserve">Planos</w:t>
      </w:r>
      <w:r>
        <w:t xml:space="preserve"> </w:t>
      </w:r>
      <w:r>
        <w:t xml:space="preserve">(dentro de Producción) guarda el PDF o la imagen de cada plano, con su código, revisión y cliente:</w:t>
      </w:r>
    </w:p>
    <w:p>
      <w:pPr>
        <w:pStyle w:val="Compact"/>
        <w:numPr>
          <w:ilvl w:val="0"/>
          <w:numId w:val="1009"/>
        </w:numPr>
      </w:pPr>
      <w:r>
        <w:t xml:space="preserve">Cargalo con</w:t>
      </w:r>
      <w:r>
        <w:t xml:space="preserve"> </w:t>
      </w:r>
      <w:r>
        <w:rPr>
          <w:b/>
          <w:bCs/>
        </w:rPr>
        <w:t xml:space="preserve">+ Nuevo plano</w:t>
      </w:r>
      <w:r>
        <w:t xml:space="preserve"> </w:t>
      </w:r>
      <w:r>
        <w:t xml:space="preserve">usando</w:t>
      </w:r>
      <w:r>
        <w:t xml:space="preserve"> </w:t>
      </w:r>
      <w:r>
        <w:rPr>
          <w:b/>
          <w:bCs/>
        </w:rPr>
        <w:t xml:space="preserve">el mismo código</w:t>
      </w:r>
      <w:r>
        <w:t xml:space="preserve"> </w:t>
      </w:r>
      <w:r>
        <w:t xml:space="preserve">que escribís en el campo</w:t>
      </w:r>
      <w:r>
        <w:t xml:space="preserve"> </w:t>
      </w:r>
      <w:r>
        <w:t xml:space="preserve">“Código de plano”</w:t>
      </w:r>
      <w:r>
        <w:t xml:space="preserve"> </w:t>
      </w:r>
      <w:r>
        <w:t xml:space="preserve">de la OP — ese texto es el vínculo.</w:t>
      </w:r>
    </w:p>
    <w:p>
      <w:pPr>
        <w:pStyle w:val="Compact"/>
        <w:numPr>
          <w:ilvl w:val="0"/>
          <w:numId w:val="1009"/>
        </w:numPr>
      </w:pPr>
      <w:r>
        <w:t xml:space="preserve">En la tabla de OPs, el código de plano se vuelve</w:t>
      </w:r>
      <w:r>
        <w:t xml:space="preserve"> </w:t>
      </w:r>
      <w:r>
        <w:rPr>
          <w:b/>
          <w:bCs/>
        </w:rPr>
        <w:t xml:space="preserve">clickeable</w:t>
      </w:r>
      <w:r>
        <w:t xml:space="preserve"> </w:t>
      </w:r>
      <w:r>
        <w:t xml:space="preserve">cuando el plano está cargado: un click y lo ves.</w:t>
      </w:r>
    </w:p>
    <w:p>
      <w:pPr>
        <w:pStyle w:val="Compact"/>
        <w:numPr>
          <w:ilvl w:val="0"/>
          <w:numId w:val="1009"/>
        </w:numPr>
      </w:pPr>
      <w:r>
        <w:rPr>
          <w:b/>
          <w:bCs/>
        </w:rPr>
        <w:t xml:space="preserve">En Modo Planta</w:t>
      </w:r>
      <w:r>
        <w:t xml:space="preserve">: cuando el operario escanea el QR de la OP en el celular, aparece el botón</w:t>
      </w:r>
      <w:r>
        <w:t xml:space="preserve"> </w:t>
      </w:r>
      <w:r>
        <w:rPr>
          <w:b/>
          <w:bCs/>
        </w:rPr>
        <w:t xml:space="preserve">📐 VER PLANO</w:t>
      </w:r>
      <w:r>
        <w:t xml:space="preserve"> </w:t>
      </w:r>
      <w:r>
        <w:t xml:space="preserve">— el plano de la pieza en la mano, sin ir a buscar la carpeta.</w:t>
      </w:r>
    </w:p>
    <w:p>
      <w:pPr>
        <w:pStyle w:val="Compact"/>
        <w:numPr>
          <w:ilvl w:val="0"/>
          <w:numId w:val="1009"/>
        </w:numPr>
      </w:pPr>
      <w:r>
        <w:t xml:space="preserve">El tablero de Planos te avisa qué códigos usados en OPs</w:t>
      </w:r>
      <w:r>
        <w:t xml:space="preserve"> </w:t>
      </w:r>
      <w:r>
        <w:rPr>
          <w:b/>
          <w:bCs/>
        </w:rPr>
        <w:t xml:space="preserve">todavía no tienen plano cargado</w:t>
      </w:r>
      <w:r>
        <w:t xml:space="preserve">.</w:t>
      </w:r>
    </w:p>
    <w:p>
      <w:pPr>
        <w:pStyle w:val="Compact"/>
        <w:numPr>
          <w:ilvl w:val="0"/>
          <w:numId w:val="1009"/>
        </w:numPr>
      </w:pPr>
      <w:r>
        <w:t xml:space="preserve">Cada cambio de archivo o revisión queda auditado (es un documento controlado).</w:t>
      </w:r>
    </w:p>
    <w:bookmarkEnd w:id="23"/>
    <w:bookmarkStart w:id="24"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4"/>
    <w:bookmarkStart w:id="25"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10"/>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10"/>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10"/>
        </w:numPr>
      </w:pPr>
      <w:r>
        <w:rPr>
          <w:b/>
          <w:bCs/>
        </w:rPr>
        <w:t xml:space="preserve">Resultado:</w:t>
      </w:r>
      <w:r>
        <w:t xml:space="preserve"> </w:t>
      </w:r>
      <w:r>
        <w:t xml:space="preserve">conforme / no conforme.</w:t>
      </w:r>
    </w:p>
    <w:p>
      <w:pPr>
        <w:pStyle w:val="Compact"/>
        <w:numPr>
          <w:ilvl w:val="0"/>
          <w:numId w:val="1010"/>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10"/>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5"/>
    <w:bookmarkEnd w:id="26"/>
    <w:bookmarkStart w:id="32"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7"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7"/>
    <w:bookmarkStart w:id="28"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 de emisión</w:t>
      </w:r>
      <w:r>
        <w:t xml:space="preserve"> </w:t>
      </w:r>
      <w:r>
        <w:t xml:space="preserve">(la impresa en el comprobante),</w:t>
      </w:r>
      <w:r>
        <w:t xml:space="preserve"> </w:t>
      </w:r>
      <w:r>
        <w:rPr>
          <w:b/>
          <w:bCs/>
        </w:rPr>
        <w:t xml:space="preserve">Fecha contable</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rPr>
          <w:b/>
          <w:bCs/>
        </w:rPr>
        <w:t xml:space="preserve">Las dos fechas:</w:t>
      </w:r>
      <w:r>
        <w:t xml:space="preserve"> </w:t>
      </w:r>
      <w:r>
        <w:t xml:space="preserve">la</w:t>
      </w:r>
      <w:r>
        <w:t xml:space="preserve"> </w:t>
      </w:r>
      <w:r>
        <w:rPr>
          <w:b/>
          <w:bCs/>
        </w:rPr>
        <w:t xml:space="preserve">de emisión</w:t>
      </w:r>
      <w:r>
        <w:t xml:space="preserve"> </w:t>
      </w:r>
      <w:r>
        <w:t xml:space="preserve">es la del papel; la</w:t>
      </w:r>
      <w:r>
        <w:t xml:space="preserve"> </w:t>
      </w:r>
      <w:r>
        <w:rPr>
          <w:b/>
          <w:bCs/>
        </w:rPr>
        <w:t xml:space="preserve">contable</w:t>
      </w:r>
      <w:r>
        <w:t xml:space="preserve"> </w:t>
      </w:r>
      <w:r>
        <w:t xml:space="preserve">(viene propuesta con la fecha de hoy) es cuándo impacta en los libros — el asiento, el libro IVA Compras y la posición IVA van por la contable. Ejemplo típico: factura emitida en junio que te llega en agosto → emisión junio, contable agosto.</w:t>
      </w:r>
    </w:p>
    <w:p>
      <w:pPr>
        <w:pStyle w:val="BlockText"/>
      </w:pPr>
      <w:r>
        <w:rPr>
          <w:b/>
          <w:bCs/>
        </w:rPr>
        <w:t xml:space="preserve">El orden importa: primero Recibir, después Factura.</w:t>
      </w:r>
      <w:r>
        <w:t xml:space="preserve"> </w:t>
      </w:r>
      <w:r>
        <w:t xml:space="preserve">El match compara la factura contra lo que</w:t>
      </w:r>
      <w:r>
        <w:t xml:space="preserve"> </w:t>
      </w:r>
      <w:r>
        <w:rPr>
          <w:b/>
          <w:bCs/>
        </w:rPr>
        <w:t xml:space="preserve">recepcionaste en el sistema</w:t>
      </w:r>
      <w:r>
        <w:t xml:space="preserve">. Si la OC no tiene recepciones cargadas, el panel avisa</w:t>
      </w:r>
      <w:r>
        <w:t xml:space="preserve"> </w:t>
      </w:r>
      <w:r>
        <w:rPr>
          <w:b/>
          <w:bCs/>
        </w:rPr>
        <w:t xml:space="preserve">SIN RECEPCIONES</w:t>
      </w:r>
      <w:r>
        <w:t xml:space="preserve">: registrá la recepción con</w:t>
      </w:r>
      <w:r>
        <w:t xml:space="preserve"> </w:t>
      </w:r>
      <w:r>
        <w:rPr>
          <w:b/>
          <w:bCs/>
        </w:rPr>
        <w:t xml:space="preserve">Recibir</w:t>
      </w:r>
      <w:r>
        <w:t xml:space="preserve"> </w:t>
      </w:r>
      <w:r>
        <w:t xml:space="preserve">y volvé…</w:t>
      </w:r>
      <w:r>
        <w:t xml:space="preserve"> </w:t>
      </w:r>
      <w:r>
        <w:rPr>
          <w:b/>
          <w:bCs/>
        </w:rPr>
        <w:t xml:space="preserve">o usá el atajo</w:t>
      </w:r>
      <w:r>
        <w:t xml:space="preserve">: si el material llegó junto con la factura, tildá</w:t>
      </w:r>
      <w:r>
        <w:t xml:space="preserve"> </w:t>
      </w:r>
      <w:r>
        <w:rPr>
          <w:b/>
          <w:bCs/>
        </w:rPr>
        <w:t xml:space="preserve">“Recibí todo el material con esta factura”</w:t>
      </w:r>
      <w:r>
        <w:t xml:space="preserve"> </w:t>
      </w:r>
      <w:r>
        <w:t xml:space="preserve">en el mismo modal — el sistema registra la recepción completa de la OC (stock, kardex y asiento GR/IR) y recién después la factura, con el match cerrando solo. Un administrador puede registrar igual justificando el override (para material que entró antes de usar el sistema).</w:t>
      </w:r>
    </w:p>
    <w:p>
      <w:pPr>
        <w:pStyle w:val="BlockText"/>
      </w:pPr>
      <w:r>
        <w:rPr>
          <w:b/>
          <w:bCs/>
        </w:rPr>
        <w:t xml:space="preserve">¿Te equivocaste en algo?</w:t>
      </w:r>
      <w:r>
        <w:t xml:space="preserve"> </w:t>
      </w:r>
      <w:r>
        <w:t xml:space="preserve">En la tabla de Facturas recibidas cada comprobante tiene</w:t>
      </w:r>
      <w:r>
        <w:t xml:space="preserve"> </w:t>
      </w:r>
      <w:r>
        <w:rPr>
          <w:b/>
          <w:bCs/>
        </w:rPr>
        <w:t xml:space="preserve">Corregir</w:t>
      </w:r>
      <w:r>
        <w:t xml:space="preserve"> </w:t>
      </w:r>
      <w:r>
        <w:t xml:space="preserve">(lo anula y te reabre el formulario precargado para que cambies lo que estaba mal y lo registres de nuevo) y</w:t>
      </w:r>
      <w:r>
        <w:t xml:space="preserve"> </w:t>
      </w:r>
      <w:r>
        <w:rPr>
          <w:b/>
          <w:bCs/>
        </w:rPr>
        <w:t xml:space="preserve">Anular</w:t>
      </w:r>
      <w:r>
        <w:t xml:space="preserve"> </w:t>
      </w:r>
      <w:r>
        <w:t xml:space="preserve">(pide motivo y lo elimina; el asiento contable queda en estado</w:t>
      </w:r>
      <w:r>
        <w:t xml:space="preserve"> </w:t>
      </w:r>
      <w:r>
        <w:rPr>
          <w:i/>
          <w:iCs/>
        </w:rPr>
        <w:t xml:space="preserve">anulado</w:t>
      </w:r>
      <w:r>
        <w:t xml:space="preserve"> </w:t>
      </w:r>
      <w:r>
        <w:t xml:space="preserve">— nunca se borra — y el motivo va al registro de auditoría). Si la factura tiene una NC/ND asociada, primero anulá la NC/ND. Las recepciones de la OC no se tocan al anular: el material entró igual.</w:t>
      </w:r>
    </w:p>
    <w:p>
      <w:pPr>
        <w:pStyle w:val="BlockText"/>
      </w:pPr>
      <w:r>
        <w:rPr>
          <w:b/>
          <w:bCs/>
        </w:rPr>
        <w:t xml:space="preserve">Proveedor nuevo sin cargar:</w:t>
      </w:r>
      <w:r>
        <w:t xml:space="preserve"> </w:t>
      </w:r>
      <w:r>
        <w:t xml:space="preserve">tanto el modal de</w:t>
      </w:r>
      <w:r>
        <w:t xml:space="preserve"> </w:t>
      </w:r>
      <w:r>
        <w:rPr>
          <w:b/>
          <w:bCs/>
        </w:rPr>
        <w:t xml:space="preserve">nueva OC</w:t>
      </w:r>
      <w:r>
        <w:t xml:space="preserve"> </w:t>
      </w:r>
      <w:r>
        <w:t xml:space="preserve">como el de</w:t>
      </w:r>
      <w:r>
        <w:t xml:space="preserve"> </w:t>
      </w:r>
      <w:r>
        <w:rPr>
          <w:b/>
          <w:bCs/>
        </w:rPr>
        <w:t xml:space="preserve">factura sin OC</w:t>
      </w:r>
      <w:r>
        <w:t xml:space="preserve"> </w:t>
      </w:r>
      <w:r>
        <w:t xml:space="preserve">tienen el botón</w:t>
      </w:r>
      <w:r>
        <w:t xml:space="preserve"> </w:t>
      </w:r>
      <w:r>
        <w:rPr>
          <w:b/>
          <w:bCs/>
        </w:rPr>
        <w:t xml:space="preserve">+ CUIT</w:t>
      </w:r>
      <w:r>
        <w:t xml:space="preserve"> </w:t>
      </w:r>
      <w:r>
        <w:t xml:space="preserve">al lado del selector de proveedor: alta rápida de proveedor ocasional con CUIT validado, sin salir del formulario.</w:t>
      </w:r>
    </w:p>
    <w:p>
      <w:pPr>
        <w:pStyle w:val="BlockText"/>
      </w:pPr>
      <w:r>
        <w:rPr>
          <w:b/>
          <w:bCs/>
        </w:rPr>
        <w:t xml:space="preserve">Monedas distintas:</w:t>
      </w:r>
      <w:r>
        <w:t xml:space="preserve"> </w:t>
      </w:r>
      <w:r>
        <w:t xml:space="preserve">si la OC está en USD y la factura en ARS (o al revés), el sistema convierte lo recibido a la moneda de la factura con el</w:t>
      </w:r>
      <w:r>
        <w:t xml:space="preserve"> </w:t>
      </w:r>
      <w:r>
        <w:rPr>
          <w:b/>
          <w:bCs/>
        </w:rPr>
        <w:t xml:space="preserve">tipo de cambio de la factura</w:t>
      </w:r>
      <w:r>
        <w:t xml:space="preserve"> </w:t>
      </w:r>
      <w:r>
        <w:t xml:space="preserve">(o el de la OC si no cargaste uno) y te lo muestra en el panel. Sin tipo de cambio no hay comparación posible y no deja registrar.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8"/>
    <w:bookmarkStart w:id="29"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9"/>
    <w:bookmarkStart w:id="31"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30"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11"/>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11"/>
        </w:numPr>
      </w:pPr>
      <w:r>
        <w:rPr>
          <w:b/>
          <w:bCs/>
        </w:rPr>
        <w:t xml:space="preserve">No gravado / Exento</w:t>
      </w:r>
      <w:r>
        <w:t xml:space="preserve">: campos aparte, salen en el Libro IVA.</w:t>
      </w:r>
    </w:p>
    <w:p>
      <w:pPr>
        <w:pStyle w:val="Compact"/>
        <w:numPr>
          <w:ilvl w:val="0"/>
          <w:numId w:val="1011"/>
        </w:numPr>
      </w:pPr>
      <w:r>
        <w:rPr>
          <w:b/>
          <w:bCs/>
        </w:rPr>
        <w:t xml:space="preserve">Percepciones</w:t>
      </w:r>
      <w:r>
        <w:t xml:space="preserve">: IVA, IIBB (con jurisdicción) y Ganancias. Se contabilizan como crédito en sus cuentas (113007 / 113010 / 113011).</w:t>
      </w:r>
    </w:p>
    <w:p>
      <w:pPr>
        <w:pStyle w:val="Compact"/>
        <w:numPr>
          <w:ilvl w:val="0"/>
          <w:numId w:val="1011"/>
        </w:numPr>
      </w:pPr>
      <w:r>
        <w:rPr>
          <w:b/>
          <w:bCs/>
        </w:rPr>
        <w:t xml:space="preserve">El total tiene que cerrar</w:t>
      </w:r>
      <w:r>
        <w:t xml:space="preserve">: el sistema no deja guardar si la suma de componentes no coincide con el total del comprobante.</w:t>
      </w:r>
    </w:p>
    <w:p>
      <w:pPr>
        <w:pStyle w:val="Compact"/>
        <w:numPr>
          <w:ilvl w:val="0"/>
          <w:numId w:val="1011"/>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11"/>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r>
        <w:pict>
          <v:rect style="width:0;height:1.5pt" o:hralign="center" o:hrstd="t" o:hr="t"/>
        </w:pict>
      </w:r>
    </w:p>
    <w:bookmarkEnd w:id="30"/>
    <w:bookmarkEnd w:id="31"/>
    <w:bookmarkEnd w:id="32"/>
    <w:bookmarkStart w:id="38"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3"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2"/>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2"/>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2"/>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2"/>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2"/>
        </w:numPr>
      </w:pPr>
      <w:r>
        <w:rPr>
          <w:b/>
          <w:bCs/>
        </w:rPr>
        <w:t xml:space="preserve">Importar Excel:</w:t>
      </w:r>
      <w:r>
        <w:t xml:space="preserve"> </w:t>
      </w:r>
      <w:r>
        <w:t xml:space="preserve">para cargar muchos de una. Detecta duplicados por CUIT (o por nombre).</w:t>
      </w:r>
    </w:p>
    <w:p>
      <w:pPr>
        <w:numPr>
          <w:ilvl w:val="0"/>
          <w:numId w:val="1012"/>
        </w:numPr>
      </w:pPr>
      <w:r>
        <w:rPr>
          <w:b/>
          <w:bCs/>
        </w:rPr>
        <w:t xml:space="preserve">Ficha del cliente:</w:t>
      </w:r>
      <w:r>
        <w:t xml:space="preserve"> </w:t>
      </w:r>
      <w:r>
        <w:t xml:space="preserve">tocá el nombre para ver su historial completo (presupuestos, ventas, facturas, pagos).</w:t>
      </w:r>
    </w:p>
    <w:p>
      <w:pPr>
        <w:numPr>
          <w:ilvl w:val="0"/>
          <w:numId w:val="1012"/>
        </w:numPr>
      </w:pPr>
      <w:r>
        <w:rPr>
          <w:b/>
          <w:bCs/>
        </w:rPr>
        <w:t xml:space="preserve">Exportar:</w:t>
      </w:r>
      <w:r>
        <w:t xml:space="preserve"> </w:t>
      </w:r>
      <w:r>
        <w:t xml:space="preserve">botón</w:t>
      </w:r>
      <w:r>
        <w:t xml:space="preserve"> </w:t>
      </w:r>
      <w:r>
        <w:rPr>
          <w:b/>
          <w:bCs/>
        </w:rPr>
        <w:t xml:space="preserve">Excel</w:t>
      </w:r>
      <w:r>
        <w:t xml:space="preserve">.</w:t>
      </w:r>
    </w:p>
    <w:bookmarkEnd w:id="33"/>
    <w:bookmarkStart w:id="34"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4"/>
    <w:bookmarkStart w:id="35"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5"/>
    <w:bookmarkStart w:id="36" w:name="cuenta-corriente"/>
    <w:p>
      <w:pPr>
        <w:pStyle w:val="Heading3"/>
      </w:pPr>
      <w:r>
        <w:t xml:space="preserve">8.4 Cuenta corriente</w:t>
      </w:r>
    </w:p>
    <w:p>
      <w:pPr>
        <w:pStyle w:val="FirstParagraph"/>
      </w:pPr>
      <w:r>
        <w:t xml:space="preserve">Muestra cuánto te debe cada cliente y desde hace cuánto.</w:t>
      </w:r>
    </w:p>
    <w:p>
      <w:pPr>
        <w:pStyle w:val="Compact"/>
        <w:numPr>
          <w:ilvl w:val="0"/>
          <w:numId w:val="1013"/>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3"/>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3"/>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3"/>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6"/>
    <w:bookmarkStart w:id="37" w:name="Xf0886934132c9b4757c37c042c9c0a13efdc437"/>
    <w:p>
      <w:pPr>
        <w:pStyle w:val="Heading3"/>
      </w:pPr>
      <w:r>
        <w:t xml:space="preserve">8.5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37"/>
    <w:bookmarkEnd w:id="38"/>
    <w:bookmarkStart w:id="41" w:name="análisis-costos-y-trazabilidad"/>
    <w:p>
      <w:pPr>
        <w:pStyle w:val="Heading2"/>
      </w:pPr>
      <w:r>
        <w:t xml:space="preserve">9. Análisis (costos y trazabilidad)</w:t>
      </w:r>
    </w:p>
    <w:bookmarkStart w:id="39"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4"/>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4"/>
        </w:numPr>
      </w:pPr>
      <w:r>
        <w:t xml:space="preserve">Tocá</w:t>
      </w:r>
      <w:r>
        <w:t xml:space="preserve"> </w:t>
      </w:r>
      <w:r>
        <w:rPr>
          <w:b/>
          <w:bCs/>
        </w:rPr>
        <w:t xml:space="preserve">↻ Recalcular</w:t>
      </w:r>
      <w:r>
        <w:t xml:space="preserve">.</w:t>
      </w:r>
    </w:p>
    <w:p>
      <w:pPr>
        <w:pStyle w:val="Compact"/>
        <w:numPr>
          <w:ilvl w:val="0"/>
          <w:numId w:val="1014"/>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39"/>
    <w:bookmarkStart w:id="40"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40"/>
    <w:bookmarkEnd w:id="41"/>
    <w:bookmarkStart w:id="48"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2"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2"/>
    <w:bookmarkStart w:id="43"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3"/>
    <w:bookmarkStart w:id="44"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4"/>
    <w:bookmarkStart w:id="45"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5"/>
    <w:bookmarkStart w:id="46"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15"/>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15"/>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15"/>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15"/>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6"/>
    <w:bookmarkStart w:id="47"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7"/>
    <w:bookmarkEnd w:id="48"/>
    <w:bookmarkStart w:id="57"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49"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6"/>
        </w:numPr>
      </w:pPr>
      <w:r>
        <w:rPr>
          <w:b/>
          <w:bCs/>
        </w:rPr>
        <w:t xml:space="preserve">Expandir / Colapsar</w:t>
      </w:r>
      <w:r>
        <w:t xml:space="preserve"> </w:t>
      </w:r>
      <w:r>
        <w:t xml:space="preserve">los grupos.</w:t>
      </w:r>
    </w:p>
    <w:p>
      <w:pPr>
        <w:pStyle w:val="Compact"/>
        <w:numPr>
          <w:ilvl w:val="0"/>
          <w:numId w:val="1016"/>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6"/>
        </w:numPr>
      </w:pPr>
      <w:r>
        <w:t xml:space="preserve">Filtrá por tipo, activa o ajustable.</w:t>
      </w:r>
    </w:p>
    <w:bookmarkEnd w:id="49"/>
    <w:bookmarkStart w:id="50"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50"/>
    <w:bookmarkStart w:id="51"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17"/>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w:t>
      </w:r>
    </w:p>
    <w:p>
      <w:pPr>
        <w:pStyle w:val="Compact"/>
        <w:numPr>
          <w:ilvl w:val="0"/>
          <w:numId w:val="1017"/>
        </w:numPr>
      </w:pPr>
      <w:r>
        <w:t xml:space="preserve">Completá</w:t>
      </w:r>
      <w:r>
        <w:t xml:space="preserve"> </w:t>
      </w:r>
      <w:r>
        <w:rPr>
          <w:b/>
          <w:bCs/>
        </w:rPr>
        <w:t xml:space="preserve">Fecha</w:t>
      </w:r>
      <w:r>
        <w:t xml:space="preserve">,</w:t>
      </w:r>
      <w:r>
        <w:t xml:space="preserve"> </w:t>
      </w:r>
      <w:r>
        <w:rPr>
          <w:b/>
          <w:bCs/>
        </w:rPr>
        <w:t xml:space="preserve">Tercero</w:t>
      </w:r>
      <w:r>
        <w:t xml:space="preserve"> </w:t>
      </w:r>
      <w:r>
        <w:t xml:space="preserve">(cliente/proveedor),</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17"/>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o proveedores) y el cobro se imputa</w:t>
      </w:r>
      <w:r>
        <w:t xml:space="preserve"> </w:t>
      </w:r>
      <w:r>
        <w:rPr>
          <w:b/>
          <w:bCs/>
        </w:rPr>
        <w:t xml:space="preserve">FIFO</w:t>
      </w:r>
      <w:r>
        <w:t xml:space="preserve"> </w:t>
      </w:r>
      <w:r>
        <w:t xml:space="preserve">a las facturas más viejas.</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bookmarkEnd w:id="51"/>
    <w:bookmarkStart w:id="52"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2"/>
    <w:bookmarkStart w:id="53"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3"/>
    <w:bookmarkStart w:id="54"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4"/>
    <w:bookmarkStart w:id="55" w:name="conciliación-bancaria"/>
    <w:p>
      <w:pPr>
        <w:pStyle w:val="Heading3"/>
      </w:pPr>
      <w:r>
        <w:t xml:space="preserve">11.7 Conciliación bancaria</w:t>
      </w:r>
    </w:p>
    <w:p>
      <w:pPr>
        <w:pStyle w:val="Compact"/>
        <w:numPr>
          <w:ilvl w:val="0"/>
          <w:numId w:val="1018"/>
        </w:numPr>
      </w:pPr>
      <w:r>
        <w:t xml:space="preserve">Definí las</w:t>
      </w:r>
      <w:r>
        <w:t xml:space="preserve"> </w:t>
      </w:r>
      <w:r>
        <w:rPr>
          <w:b/>
          <w:bCs/>
        </w:rPr>
        <w:t xml:space="preserve">cuentas bancarias</w:t>
      </w:r>
      <w:r>
        <w:t xml:space="preserve">.</w:t>
      </w:r>
    </w:p>
    <w:p>
      <w:pPr>
        <w:pStyle w:val="Compact"/>
        <w:numPr>
          <w:ilvl w:val="0"/>
          <w:numId w:val="1018"/>
        </w:numPr>
      </w:pPr>
      <w:r>
        <w:rPr>
          <w:b/>
          <w:bCs/>
        </w:rPr>
        <w:t xml:space="preserve">Importá el extracto</w:t>
      </w:r>
      <w:r>
        <w:t xml:space="preserve"> </w:t>
      </w:r>
      <w:r>
        <w:t xml:space="preserve">del banco (CSV/XLS).</w:t>
      </w:r>
    </w:p>
    <w:p>
      <w:pPr>
        <w:pStyle w:val="Compact"/>
        <w:numPr>
          <w:ilvl w:val="0"/>
          <w:numId w:val="1018"/>
        </w:numPr>
      </w:pPr>
      <w:r>
        <w:rPr>
          <w:b/>
          <w:bCs/>
        </w:rPr>
        <w:t xml:space="preserve">Conciliá:</w:t>
      </w:r>
      <w:r>
        <w:t xml:space="preserve"> </w:t>
      </w:r>
      <w:r>
        <w:t xml:space="preserve">emparejá cada línea del extracto con su asiento. Los no conciliados quedan marcados.</w:t>
      </w:r>
    </w:p>
    <w:bookmarkEnd w:id="55"/>
    <w:bookmarkStart w:id="56" w:name="cierre-períodos-y-ajuste-por-inflación"/>
    <w:p>
      <w:pPr>
        <w:pStyle w:val="Heading3"/>
      </w:pPr>
      <w:r>
        <w:t xml:space="preserve">11.8 Cierre, períodos y ajuste por inflación</w:t>
      </w:r>
    </w:p>
    <w:p>
      <w:pPr>
        <w:pStyle w:val="Compact"/>
        <w:numPr>
          <w:ilvl w:val="0"/>
          <w:numId w:val="1019"/>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19"/>
        </w:numPr>
      </w:pPr>
      <w:r>
        <w:rPr>
          <w:b/>
          <w:bCs/>
        </w:rPr>
        <w:t xml:space="preserve">Índices IPC:</w:t>
      </w:r>
      <w:r>
        <w:t xml:space="preserve"> </w:t>
      </w:r>
      <w:r>
        <w:t xml:space="preserve">cargá el IPC del INDEC mes a mes (es la misma serie que publica la FACPCE). Es la base para el ajuste por inflación; cuanto más completa, más exacta la anticuación.</w:t>
      </w:r>
    </w:p>
    <w:p>
      <w:pPr>
        <w:pStyle w:val="Compact"/>
        <w:numPr>
          <w:ilvl w:val="0"/>
          <w:numId w:val="1019"/>
        </w:numPr>
      </w:pPr>
      <w:r>
        <w:rPr>
          <w:b/>
          <w:bCs/>
        </w:rPr>
        <w:t xml:space="preserve">Ajuste por inflación (RT 54):</w:t>
      </w:r>
      <w:r>
        <w:t xml:space="preserve"> </w:t>
      </w:r>
      <w:r>
        <w:t xml:space="preserve">elegí el</w:t>
      </w:r>
      <w:r>
        <w:t xml:space="preserve"> </w:t>
      </w:r>
      <w:r>
        <w:rPr>
          <w:b/>
          <w:bCs/>
        </w:rPr>
        <w:t xml:space="preserve">mes de cierre</w:t>
      </w:r>
      <w:r>
        <w:t xml:space="preserve">,</w:t>
      </w:r>
      <w:r>
        <w:t xml:space="preserve"> </w:t>
      </w:r>
      <w:r>
        <w:rPr>
          <w:b/>
          <w:bCs/>
        </w:rPr>
        <w:t xml:space="preserve">Calcular preview</w:t>
      </w:r>
      <w:r>
        <w:t xml:space="preserve">, revisá y</w:t>
      </w:r>
      <w:r>
        <w:t xml:space="preserve"> </w:t>
      </w:r>
      <w:r>
        <w:rPr>
          <w:b/>
          <w:bCs/>
        </w:rPr>
        <w:t xml:space="preserve">Generar asiento</w:t>
      </w:r>
      <w:r>
        <w:t xml:space="preserve">. Cada partida de las cuentas no monetarias se reexpresa por el índice de su mes de origen (anticuación mensual); si ya registraste un ajuste anterior, lo previo a esa fecha se lleva con un solo coeficiente y lo posterior mes a mes. El Capital se ajusta contra</w:t>
      </w:r>
      <w:r>
        <w:t xml:space="preserve"> </w:t>
      </w:r>
      <w:r>
        <w:rPr>
          <w:b/>
          <w:bCs/>
        </w:rPr>
        <w:t xml:space="preserve">Ajuste de capital</w:t>
      </w:r>
      <w:r>
        <w:t xml:space="preserve"> </w:t>
      </w:r>
      <w:r>
        <w:t xml:space="preserve">(312000) y la contrapartida es el</w:t>
      </w:r>
      <w:r>
        <w:t xml:space="preserve"> </w:t>
      </w:r>
      <w:r>
        <w:rPr>
          <w:b/>
          <w:bCs/>
        </w:rPr>
        <w:t xml:space="preserve">RECPAM</w:t>
      </w:r>
      <w:r>
        <w:t xml:space="preserve">. Pasá el mouse por una fila para ver el detalle por mes. Si falta el IPC de algún mes, se usa el anterior y el sistema avisa. Hacé el ajuste</w:t>
      </w:r>
      <w:r>
        <w:t xml:space="preserve"> </w:t>
      </w:r>
      <w:r>
        <w:rPr>
          <w:b/>
          <w:bCs/>
        </w:rPr>
        <w:t xml:space="preserve">antes</w:t>
      </w:r>
      <w:r>
        <w:t xml:space="preserve"> </w:t>
      </w:r>
      <w:r>
        <w:t xml:space="preserve">de refundir resultados.</w:t>
      </w:r>
    </w:p>
    <w:p>
      <w:pPr>
        <w:pStyle w:val="Compact"/>
        <w:numPr>
          <w:ilvl w:val="0"/>
          <w:numId w:val="1019"/>
        </w:numPr>
      </w:pPr>
      <w:r>
        <w:rPr>
          <w:b/>
          <w:bCs/>
        </w:rPr>
        <w:t xml:space="preserve">Histórico vs Ajustado:</w:t>
      </w:r>
      <w:r>
        <w:t xml:space="preserve"> </w:t>
      </w:r>
      <w:r>
        <w:t xml:space="preserve">muestra cada cuenta a valor nominal y reexpresada desde cero a la fecha de corte (no cuenta los ajustes ya registrados).</w:t>
      </w:r>
    </w:p>
    <w:p>
      <w:pPr>
        <w:pStyle w:val="Compact"/>
        <w:numPr>
          <w:ilvl w:val="0"/>
          <w:numId w:val="1019"/>
        </w:numPr>
      </w:pPr>
      <w:r>
        <w:rPr>
          <w:b/>
          <w:bCs/>
        </w:rPr>
        <w:t xml:space="preserve">Comparativo entre ejercicios:</w:t>
      </w:r>
      <w:r>
        <w:t xml:space="preserve"> </w:t>
      </w:r>
      <w:r>
        <w:t xml:space="preserve">con</w:t>
      </w:r>
      <w:r>
        <w:t xml:space="preserve"> </w:t>
      </w:r>
      <w:r>
        <w:rPr>
          <w:b/>
          <w:bCs/>
        </w:rPr>
        <w:t xml:space="preserve">Moneda homogénea</w:t>
      </w:r>
      <w:r>
        <w:t xml:space="preserve"> </w:t>
      </w:r>
      <w:r>
        <w:t xml:space="preserve">tildado, el período A se lleva a moneda del período B (IPC B / IPC A) para que las cifras sean comparables, como pide la RT 54.</w:t>
      </w:r>
    </w:p>
    <w:p>
      <w:pPr>
        <w:pStyle w:val="Compact"/>
        <w:numPr>
          <w:ilvl w:val="0"/>
          <w:numId w:val="1019"/>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pPr>
        <w:pStyle w:val="Compact"/>
        <w:numPr>
          <w:ilvl w:val="0"/>
          <w:numId w:val="1019"/>
        </w:numPr>
      </w:pPr>
      <w:r>
        <w:rPr>
          <w:b/>
          <w:bCs/>
        </w:rPr>
        <w:t xml:space="preserve">Ajustes de cierre RT 54 (antes de refundir):</w:t>
      </w:r>
      <w:r>
        <w:t xml:space="preserve"> </w:t>
      </w:r>
      <w:r>
        <w:t xml:space="preserve">en la misma página, el panel</w:t>
      </w:r>
      <w:r>
        <w:t xml:space="preserve"> </w:t>
      </w:r>
      <w:r>
        <w:rPr>
          <w:b/>
          <w:bCs/>
        </w:rPr>
        <w:t xml:space="preserve">Ajustes de cierre RT 54</w:t>
      </w:r>
      <w:r>
        <w:t xml:space="preserve"> </w:t>
      </w:r>
      <w:r>
        <w:t xml:space="preserve">genera los cinco asientos que pide la norma para Entidades Pequeñas. Cargá el</w:t>
      </w:r>
      <w:r>
        <w:t xml:space="preserve"> </w:t>
      </w:r>
      <w:r>
        <w:rPr>
          <w:b/>
          <w:bCs/>
        </w:rPr>
        <w:t xml:space="preserve">TC de cierre</w:t>
      </w:r>
      <w:r>
        <w:t xml:space="preserve"> </w:t>
      </w:r>
      <w:r>
        <w:t xml:space="preserve">y, paso por paso,</w:t>
      </w:r>
      <w:r>
        <w:t xml:space="preserve"> </w:t>
      </w:r>
      <w:r>
        <w:rPr>
          <w:b/>
          <w:bCs/>
        </w:rPr>
        <w:t xml:space="preserve">Preview</w:t>
      </w:r>
      <w:r>
        <w:t xml:space="preserve"> </w:t>
      </w:r>
      <w:r>
        <w:t xml:space="preserve">→</w:t>
      </w:r>
      <w:r>
        <w:t xml:space="preserve"> </w:t>
      </w:r>
      <w:r>
        <w:rPr>
          <w:b/>
          <w:bCs/>
        </w:rPr>
        <w:t xml:space="preserve">Generar asiento</w:t>
      </w:r>
      <w:r>
        <w:t xml:space="preserve"> </w:t>
      </w:r>
      <w:r>
        <w:t xml:space="preserve">(salen en borrador; confirmalos en Asientos):</w:t>
      </w:r>
    </w:p>
    <w:p>
      <w:pPr>
        <w:pStyle w:val="Compact"/>
        <w:numPr>
          <w:ilvl w:val="1"/>
          <w:numId w:val="1020"/>
        </w:numPr>
      </w:pPr>
      <w:r>
        <w:rPr>
          <w:b/>
          <w:bCs/>
        </w:rPr>
        <w:t xml:space="preserve">Impuesto a las ganancias:</w:t>
      </w:r>
      <w:r>
        <w:t xml:space="preserve"> </w:t>
      </w:r>
      <w:r>
        <w:t xml:space="preserve">el importe determinado que te pasa la contadora.</w:t>
      </w:r>
    </w:p>
    <w:p>
      <w:pPr>
        <w:pStyle w:val="Compact"/>
        <w:numPr>
          <w:ilvl w:val="1"/>
          <w:numId w:val="1020"/>
        </w:numPr>
      </w:pPr>
      <w:r>
        <w:rPr>
          <w:b/>
          <w:bCs/>
        </w:rPr>
        <w:t xml:space="preserve">Previsión para incobrables:</w:t>
      </w:r>
      <w:r>
        <w:t xml:space="preserve"> </w:t>
      </w:r>
      <w:r>
        <w:t xml:space="preserve">por antigüedad de la cartera (usa el aging de Cta. corriente × TC); ajustá los % por tramo. Ajusta la previsión existente al objetivo (constituye o revierte).</w:t>
      </w:r>
    </w:p>
    <w:p>
      <w:pPr>
        <w:pStyle w:val="Compact"/>
        <w:numPr>
          <w:ilvl w:val="1"/>
          <w:numId w:val="1020"/>
        </w:numPr>
      </w:pPr>
      <w:r>
        <w:rPr>
          <w:b/>
          <w:bCs/>
        </w:rPr>
        <w:t xml:space="preserve">Provisión vacaciones y cargas s/SAC:</w:t>
      </w:r>
      <w:r>
        <w:t xml:space="preserve"> </w:t>
      </w:r>
      <w:r>
        <w:t xml:space="preserve">vacaciones devengadas por centro (fábrica / administración) más las contribuciones sobre el SAC ya provisionado.</w:t>
      </w:r>
    </w:p>
    <w:p>
      <w:pPr>
        <w:pStyle w:val="Compact"/>
        <w:numPr>
          <w:ilvl w:val="1"/>
          <w:numId w:val="1020"/>
        </w:numPr>
      </w:pPr>
      <w:r>
        <w:rPr>
          <w:b/>
          <w:bCs/>
        </w:rPr>
        <w:t xml:space="preserve">Diferencia de cambio:</w:t>
      </w:r>
      <w:r>
        <w:t xml:space="preserve"> </w:t>
      </w:r>
      <w:r>
        <w:t xml:space="preserve">revalúa al TC de cierre las cuentas monetarias con saldo en dólares (sólo lo registrado en asientos en USD: una factura en pesos no se revalúa).</w:t>
      </w:r>
    </w:p>
    <w:p>
      <w:pPr>
        <w:pStyle w:val="Compact"/>
        <w:numPr>
          <w:ilvl w:val="1"/>
          <w:numId w:val="1020"/>
        </w:numPr>
      </w:pPr>
      <w:r>
        <w:rPr>
          <w:b/>
          <w:bCs/>
        </w:rPr>
        <w:t xml:space="preserve">Variación de existencias / CMV:</w:t>
      </w:r>
      <w:r>
        <w:t xml:space="preserve"> </w:t>
      </w:r>
      <w:r>
        <w:t xml:space="preserve">lleva las cuentas de stock a la existencia final (prellenada con la valuación de inventario × TC) y la diferencia es el</w:t>
      </w:r>
      <w:r>
        <w:t xml:space="preserve"> </w:t>
      </w:r>
      <w:r>
        <w:rPr>
          <w:b/>
          <w:bCs/>
        </w:rPr>
        <w:t xml:space="preserve">costo de los bienes vendidos</w:t>
      </w:r>
      <w:r>
        <w:t xml:space="preserve">.</w:t>
      </w:r>
    </w:p>
    <w:p>
      <w:pPr>
        <w:pStyle w:val="Compact"/>
        <w:numPr>
          <w:ilvl w:val="0"/>
          <w:numId w:val="1019"/>
        </w:numPr>
      </w:pPr>
      <w:r>
        <w:rPr>
          <w:b/>
          <w:bCs/>
        </w:rPr>
        <w:t xml:space="preserve">Bienes de uso:</w:t>
      </w:r>
      <w:r>
        <w:t xml:space="preserve"> </w:t>
      </w:r>
      <w:r>
        <w:t xml:space="preserve">cargá cada activo fijo (tornos, CNC, rodados, instalaciones, herramientas, software) con</w:t>
      </w:r>
      <w:r>
        <w:t xml:space="preserve"> </w:t>
      </w:r>
      <w:r>
        <w:rPr>
          <w:b/>
          <w:bCs/>
        </w:rPr>
        <w:t xml:space="preserve">fecha de alta</w:t>
      </w:r>
      <w:r>
        <w:t xml:space="preserve">,</w:t>
      </w:r>
      <w:r>
        <w:t xml:space="preserve"> </w:t>
      </w:r>
      <w:r>
        <w:rPr>
          <w:b/>
          <w:bCs/>
        </w:rPr>
        <w:t xml:space="preserve">valor de origen</w:t>
      </w:r>
      <w:r>
        <w:t xml:space="preserve"> </w:t>
      </w:r>
      <w:r>
        <w:t xml:space="preserve">en pesos,</w:t>
      </w:r>
      <w:r>
        <w:t xml:space="preserve"> </w:t>
      </w:r>
      <w:r>
        <w:rPr>
          <w:b/>
          <w:bCs/>
        </w:rPr>
        <w:t xml:space="preserve">valor residual</w:t>
      </w:r>
      <w:r>
        <w:t xml:space="preserve"> </w:t>
      </w:r>
      <w:r>
        <w:t xml:space="preserve">y</w:t>
      </w:r>
      <w:r>
        <w:t xml:space="preserve"> </w:t>
      </w:r>
      <w:r>
        <w:rPr>
          <w:b/>
          <w:bCs/>
        </w:rPr>
        <w:t xml:space="preserve">vida útil en meses</w:t>
      </w:r>
      <w:r>
        <w:t xml:space="preserve"> </w:t>
      </w:r>
      <w:r>
        <w:t xml:space="preserve">(el rubro sugiere las cuentas y la vida útil). La depreciación es lineal por meses: mes de alta completo, mes de baja incluido. En el cierre,</w:t>
      </w:r>
      <w:r>
        <w:t xml:space="preserve"> </w:t>
      </w:r>
      <w:r>
        <w:rPr>
          <w:b/>
          <w:bCs/>
        </w:rPr>
        <w:t xml:space="preserve">paso 6</w:t>
      </w:r>
      <w:r>
        <w:t xml:space="preserve"> </w:t>
      </w:r>
      <w:r>
        <w:t xml:space="preserve">del panel RT 54 calcula la depreciación del ejercicio de todos los bienes y genera el asiento (gasto contra amortización acumulada) en borrador.</w:t>
      </w:r>
      <w:r>
        <w:t xml:space="preserve"> </w:t>
      </w:r>
      <w:r>
        <w:rPr>
          <w:b/>
          <w:bCs/>
        </w:rPr>
        <w:t xml:space="preserve">Baja</w:t>
      </w:r>
      <w:r>
        <w:t xml:space="preserve">: fecha y motivo; el asiento de baja se hace en Asientos. El</w:t>
      </w:r>
      <w:r>
        <w:t xml:space="preserve"> </w:t>
      </w:r>
      <w:r>
        <w:rPr>
          <w:b/>
          <w:bCs/>
        </w:rPr>
        <w:t xml:space="preserve">Anexo Bienes de uso</w:t>
      </w:r>
      <w:r>
        <w:t xml:space="preserve"> </w:t>
      </w:r>
      <w:r>
        <w:t xml:space="preserve">(valores de origen, altas, bajas, amortización del ejercicio y acumulada por rubro) se exporta desde Exportables.</w:t>
      </w:r>
    </w:p>
    <w:p>
      <w:pPr>
        <w:pStyle w:val="Compact"/>
        <w:numPr>
          <w:ilvl w:val="0"/>
          <w:numId w:val="1019"/>
        </w:numPr>
      </w:pPr>
      <w:r>
        <w:rPr>
          <w:b/>
          <w:bCs/>
        </w:rPr>
        <w:t xml:space="preserve">Estados contables RT 54 (Contabilidad → Estados contables → EECC RT 54):</w:t>
      </w:r>
      <w:r>
        <w:t xml:space="preserve"> </w:t>
      </w:r>
      <w:r>
        <w:t xml:space="preserve">elegí el ejercicio, cargá el TC de cierre (para el anexo de moneda extranjera) y tocá</w:t>
      </w:r>
      <w:r>
        <w:t xml:space="preserve"> </w:t>
      </w:r>
      <w:r>
        <w:rPr>
          <w:b/>
          <w:bCs/>
        </w:rPr>
        <w:t xml:space="preserve">Vista previa</w:t>
      </w:r>
      <w:r>
        <w:t xml:space="preserve">: ves el Estado de situación patrimonial por rubro (corriente / no corriente), el Estado de resultados por función y el Flujo de efectivo sintético, con la columna del ejercicio anterior reexpresada a moneda de cierre.</w:t>
      </w:r>
      <w:r>
        <w:t xml:space="preserve"> </w:t>
      </w:r>
      <w:r>
        <w:rPr>
          <w:b/>
          <w:bCs/>
        </w:rPr>
        <w:t xml:space="preserve">Exportar Excel</w:t>
      </w:r>
      <w:r>
        <w:t xml:space="preserve"> </w:t>
      </w:r>
      <w:r>
        <w:t xml:space="preserve">baja un libro con carátula, ESP, ER, Evolución del PN, Flujo de efectivo, notas de composición de rubros y los anexos (moneda extranjera, bienes de uso, previsiones, costo de ventas, gastos por naturaleza, partes relacionadas), en el mismo orden que el modelo del Consejo. Corré antes los ajustes de cierre y el ajuste por inflación. Si una cuenta con saldo no tiene rubro, la vista previa lo avisa y el ESP no cuadra hasta que lo asignes.</w:t>
      </w:r>
    </w:p>
    <w:p>
      <w:pPr>
        <w:pStyle w:val="Compact"/>
        <w:numPr>
          <w:ilvl w:val="0"/>
          <w:numId w:val="1019"/>
        </w:numPr>
      </w:pPr>
      <w:r>
        <w:rPr>
          <w:b/>
          <w:bCs/>
        </w:rPr>
        <w:t xml:space="preserve">Rubro RT 54:</w:t>
      </w:r>
      <w:r>
        <w:t xml:space="preserve"> </w:t>
      </w:r>
      <w:r>
        <w:t xml:space="preserve">cada cuenta imputable tiene un rubro (Plan de cuentas → Editar) que define dónde se expone en los estados contables y alimenta el reporte de Ratios.</w:t>
      </w:r>
    </w:p>
    <w:p>
      <w:r>
        <w:pict>
          <v:rect style="width:0;height:1.5pt" o:hralign="center" o:hrstd="t" o:hr="t"/>
        </w:pict>
      </w:r>
    </w:p>
    <w:bookmarkEnd w:id="56"/>
    <w:bookmarkEnd w:id="57"/>
    <w:bookmarkStart w:id="61"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58"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58"/>
    <w:bookmarkStart w:id="59" w:name="usuarios-y-permisos-admin"/>
    <w:p>
      <w:pPr>
        <w:pStyle w:val="Heading3"/>
      </w:pPr>
      <w:r>
        <w:t xml:space="preserve">12.2 Usuarios y permisos (admin)</w:t>
      </w:r>
    </w:p>
    <w:p>
      <w:pPr>
        <w:pStyle w:val="Compact"/>
        <w:numPr>
          <w:ilvl w:val="0"/>
          <w:numId w:val="1021"/>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21"/>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59"/>
    <w:bookmarkStart w:id="60"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22"/>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22"/>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22"/>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22"/>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22"/>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Compact"/>
        <w:numPr>
          <w:ilvl w:val="0"/>
          <w:numId w:val="1022"/>
        </w:numPr>
      </w:pPr>
      <w:r>
        <w:rPr>
          <w:b/>
          <w:bCs/>
        </w:rPr>
        <w:t xml:space="preserve">Cierre RT 54:</w:t>
      </w:r>
      <w:r>
        <w:t xml:space="preserve"> </w:t>
      </w:r>
      <w:r>
        <w:t xml:space="preserve">costo de los bienes vendidos (511000), diferencias de cambio (424006), previsión para incobrables (112090) y su gasto (423007), impuesto a las ganancias (425001) y a pagar (213005), provisión vacaciones (214009) y anticipos de clientes (215001). Preconfiguradas por la migración 072; son las que usan los ajustes de cierre.</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60"/>
    <w:bookmarkEnd w:id="61"/>
    <w:bookmarkStart w:id="66"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bookmarkStart w:id="62"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62"/>
    <w:bookmarkStart w:id="63"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63"/>
    <w:bookmarkStart w:id="64"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64"/>
    <w:bookmarkStart w:id="65"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65"/>
    <w:bookmarkEnd w:id="66"/>
    <w:bookmarkStart w:id="67"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67"/>
    <w:bookmarkStart w:id="68"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2026-09-02T15:48:47Z</dcterms:created>
  <dcterms:modified xsi:type="dcterms:W3CDTF">2026-09-02T15:48:47Z</dcterms:modified>
</cp:coreProperties>
</file>

<file path=docProps/custom.xml><?xml version="1.0" encoding="utf-8"?>
<Properties xmlns="http://schemas.openxmlformats.org/officeDocument/2006/custom-properties" xmlns:vt="http://schemas.openxmlformats.org/officeDocument/2006/docPropsVTypes"/>
</file>