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1A6" w14:textId="6A22CE04" w:rsidR="001569F0" w:rsidRDefault="00000000">
      <w:pPr>
        <w:jc w:val="center"/>
      </w:pPr>
      <w:r>
        <w:rPr>
          <w:b/>
          <w:bCs/>
        </w:rPr>
        <w:t xml:space="preserve">UNIVERSIDADE </w:t>
      </w:r>
      <w:r w:rsidR="00FF11D8">
        <w:rPr>
          <w:b/>
          <w:bCs/>
        </w:rPr>
        <w:t>PUC Minas</w:t>
      </w:r>
    </w:p>
    <w:p w14:paraId="5777F320" w14:textId="77777777" w:rsidR="001569F0" w:rsidRDefault="00000000">
      <w:pPr>
        <w:jc w:val="center"/>
      </w:pPr>
      <w:r>
        <w:t>Disciplina: Arquitetura de Software</w:t>
      </w:r>
    </w:p>
    <w:p w14:paraId="2FB6FC5A" w14:textId="182C96F3" w:rsidR="001569F0" w:rsidRDefault="00000000">
      <w:pPr>
        <w:spacing w:after="480"/>
        <w:jc w:val="center"/>
      </w:pPr>
      <w:r>
        <w:t xml:space="preserve">Nome: </w:t>
      </w:r>
      <w:r w:rsidR="00250D2B">
        <w:t>Giuliano Percope</w:t>
      </w:r>
    </w:p>
    <w:p w14:paraId="19FBC77D" w14:textId="77777777" w:rsidR="001569F0" w:rsidRDefault="00000000">
      <w:pPr>
        <w:spacing w:before="240" w:after="480"/>
        <w:jc w:val="center"/>
      </w:pPr>
      <w:r>
        <w:rPr>
          <w:b/>
          <w:bCs/>
        </w:rPr>
        <w:t>Resenha: Arquitetura Hexagonal (Ports &amp; Adapters)</w:t>
      </w:r>
    </w:p>
    <w:p w14:paraId="6B20C220" w14:textId="77777777" w:rsidR="001569F0" w:rsidRDefault="00000000">
      <w:pPr>
        <w:spacing w:after="240" w:line="360" w:lineRule="auto"/>
        <w:ind w:firstLine="709"/>
        <w:jc w:val="both"/>
      </w:pPr>
      <w:r>
        <w:t>O artigo de Alistair Cockburn, publicado em 2005 sob o título "The Hexagonal (Ports &amp; Adapters) Architecture", propõe uma reconfiguração na forma como os sistemas de software organizam suas fronteiras de comunicação com o mundo externo. A motivação central do trabalho parte de um problema recorrente no desenvolvimento de sistemas: a tendência de a lógica de negócio migrar gradualmente para camadas que não lhe pertencem, como interfaces gráficas e rotinas de acesso a banco de dados. Essa contaminação estrutural torna o sistema progressivamente mais difícil de testar, de adaptar e de integrar com outros componentes, comprometendo sua longevidade e capacidade de evolução.</w:t>
      </w:r>
    </w:p>
    <w:p w14:paraId="62C43CE9" w14:textId="77777777" w:rsidR="001569F0" w:rsidRDefault="00000000">
      <w:pPr>
        <w:spacing w:after="240" w:line="360" w:lineRule="auto"/>
        <w:ind w:firstLine="709"/>
        <w:jc w:val="both"/>
      </w:pPr>
      <w:r>
        <w:t>A resposta de Cockburn a esse problema não consiste em adicionar mais uma camada à arquitetura — solução que, segundo o próprio autor, historicamente fracassa por falta de mecanismos de controle sobre onde a lógica é escrita. Em vez disso, o padrão propõe uma distinção conceitual clara entre o interior e o exterior da aplicação. O núcleo do sistema, onde vivem os casos de uso e as regras de domínio, é protegido por uma fronteira bem definida. Tudo que está fora dessa fronteira — seja um usuário humano, um script automatizado, um banco de dados ou um serviço remoto — interage com a aplicação exclusivamente por meio de portas e adaptadores.</w:t>
      </w:r>
    </w:p>
    <w:p w14:paraId="1D619714" w14:textId="77777777" w:rsidR="001569F0" w:rsidRDefault="00000000">
      <w:pPr>
        <w:spacing w:after="240" w:line="360" w:lineRule="auto"/>
        <w:ind w:firstLine="709"/>
        <w:jc w:val="both"/>
      </w:pPr>
      <w:r>
        <w:t>Nesse modelo, uma "porta" representa um ponto de acesso à aplicação definido por propósito, não por tecnologia. Já os "adaptadores" são responsáveis por traduzir os sinais do mundo externo no formato que a porta espera receber, e vice-versa. A elegância do modelo reside justamente na sua simetria: do ponto de vista da aplicação, não há diferença estrutural entre receber um comando de um usuário via interface gráfica ou de um script de testes automatizados — ambos acessam a mesma porta por meio de adaptadores distintos. Essa uniformidade abre caminho para uma testabilidade profunda, pois é possível substituir qualquer elemento externo por um equivalente simulado sem alterar uma linha da lógica interna.</w:t>
      </w:r>
    </w:p>
    <w:p w14:paraId="43EDAB57" w14:textId="77777777" w:rsidR="001569F0" w:rsidRDefault="00000000">
      <w:pPr>
        <w:spacing w:after="240" w:line="360" w:lineRule="auto"/>
        <w:ind w:firstLine="709"/>
        <w:jc w:val="both"/>
      </w:pPr>
      <w:r>
        <w:t xml:space="preserve">Cockburn detalha ainda uma distinção funcional relevante entre os adaptadores: os primários, que conduzem a aplicação ao iniciar as interações, e os secundários, que são </w:t>
      </w:r>
      <w:r>
        <w:lastRenderedPageBreak/>
        <w:t>acionados pela própria aplicação quando ela necessita de dados ou precisa disparar notificações. Essa divisão, embora não seja rígida, tem implicações práticas importantes durante o desenvolvimento. Ao utilizar adaptadores primários baseados em frameworks de testes como FIT e substitutos em memória para os adaptadores secundários, as equipes conseguem desenvolver e validar funcionalidades de forma totalmente independente da infraestrutura real, o que reduz o acoplamento tecnológico e acelera os ciclos de entrega.</w:t>
      </w:r>
    </w:p>
    <w:p w14:paraId="0FD2F09D" w14:textId="77777777" w:rsidR="001569F0" w:rsidRDefault="00000000">
      <w:pPr>
        <w:spacing w:after="240" w:line="360" w:lineRule="auto"/>
        <w:ind w:firstLine="709"/>
        <w:jc w:val="both"/>
      </w:pPr>
      <w:r>
        <w:t>Do ponto de vista prático, o artigo apresenta um exemplo simples de aplicação de desconto para ilustrar os três estágios de implementação do padrão: primeiro com testes automatizados e taxa constante, depois com a adição de uma interface de usuário, e por fim com a introdução de um repositório de dados substituível por um mock ou por um banco real. Essa progressão didática evidencia que a arquitetura não exige uma construção monolítica desde o início, mas pode ser adotada incrementalmente, adaptando-se ao ritmo e às prioridades do projeto.</w:t>
      </w:r>
    </w:p>
    <w:p w14:paraId="2A657FDE" w14:textId="77777777" w:rsidR="001569F0" w:rsidRDefault="00000000">
      <w:pPr>
        <w:spacing w:after="240" w:line="360" w:lineRule="auto"/>
        <w:ind w:firstLine="709"/>
        <w:jc w:val="both"/>
      </w:pPr>
      <w:r>
        <w:t>Em síntese, a proposta de Cockburn vai além de uma diretriz de organização de código: trata-se de uma mudança de perspectiva sobre como os sistemas devem se relacionar com o ambiente ao seu redor. Ao colocar a lógica de negócio em posição de neutralidade em relação às tecnologias externas, o padrão Ports and Adapters cria as condições para que o software evolua de forma sustentável, sem que mudanças de infraestrutura ou de interface comprometam a integridade do domínio. Esse princípio reverbera diretamente nas arquiteturas contemporâneas orientadas a serviços e microsserviços, nas quais o isolamento entre componentes é condição fundamental para a escalabilidade e a manutenibilidade dos sistemas.</w:t>
      </w:r>
    </w:p>
    <w:p w14:paraId="12E73068" w14:textId="77777777" w:rsidR="001569F0" w:rsidRDefault="00000000">
      <w:pPr>
        <w:spacing w:before="480" w:after="120"/>
      </w:pPr>
      <w:r>
        <w:rPr>
          <w:b/>
          <w:bCs/>
        </w:rPr>
        <w:t>Referências Bibliográficas</w:t>
      </w:r>
    </w:p>
    <w:p w14:paraId="4A38C791" w14:textId="77777777" w:rsidR="001569F0" w:rsidRDefault="00000000">
      <w:pPr>
        <w:spacing w:line="360" w:lineRule="auto"/>
        <w:jc w:val="both"/>
      </w:pPr>
      <w:r>
        <w:t>COCKBURN, Alistair. Hexagonal Architecture (Ports &amp; Adapters). HaT Technical Report 2005.02. [S.l.]: Alistair Cockburn Consulting, 2005. Disponível em: https://alistair.cockburn.us/hexagonal-architecture. Acesso em: 27 abr. 2026.</w:t>
      </w:r>
    </w:p>
    <w:sectPr w:rsidR="001569F0">
      <w:pgSz w:w="11906" w:h="16838"/>
      <w:pgMar w:top="1701" w:right="1134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79C6"/>
    <w:multiLevelType w:val="hybridMultilevel"/>
    <w:tmpl w:val="A2787048"/>
    <w:lvl w:ilvl="0" w:tplc="F72608D0">
      <w:start w:val="1"/>
      <w:numFmt w:val="bullet"/>
      <w:lvlText w:val="●"/>
      <w:lvlJc w:val="left"/>
      <w:pPr>
        <w:ind w:left="720" w:hanging="360"/>
      </w:pPr>
    </w:lvl>
    <w:lvl w:ilvl="1" w:tplc="84448D94">
      <w:start w:val="1"/>
      <w:numFmt w:val="bullet"/>
      <w:lvlText w:val="○"/>
      <w:lvlJc w:val="left"/>
      <w:pPr>
        <w:ind w:left="1440" w:hanging="360"/>
      </w:pPr>
    </w:lvl>
    <w:lvl w:ilvl="2" w:tplc="123A792A">
      <w:start w:val="1"/>
      <w:numFmt w:val="bullet"/>
      <w:lvlText w:val="■"/>
      <w:lvlJc w:val="left"/>
      <w:pPr>
        <w:ind w:left="2160" w:hanging="360"/>
      </w:pPr>
    </w:lvl>
    <w:lvl w:ilvl="3" w:tplc="C57A7074">
      <w:start w:val="1"/>
      <w:numFmt w:val="bullet"/>
      <w:lvlText w:val="●"/>
      <w:lvlJc w:val="left"/>
      <w:pPr>
        <w:ind w:left="2880" w:hanging="360"/>
      </w:pPr>
    </w:lvl>
    <w:lvl w:ilvl="4" w:tplc="708E64DA">
      <w:start w:val="1"/>
      <w:numFmt w:val="bullet"/>
      <w:lvlText w:val="○"/>
      <w:lvlJc w:val="left"/>
      <w:pPr>
        <w:ind w:left="3600" w:hanging="360"/>
      </w:pPr>
    </w:lvl>
    <w:lvl w:ilvl="5" w:tplc="941EBA58">
      <w:start w:val="1"/>
      <w:numFmt w:val="bullet"/>
      <w:lvlText w:val="■"/>
      <w:lvlJc w:val="left"/>
      <w:pPr>
        <w:ind w:left="4320" w:hanging="360"/>
      </w:pPr>
    </w:lvl>
    <w:lvl w:ilvl="6" w:tplc="6A3291FE">
      <w:start w:val="1"/>
      <w:numFmt w:val="bullet"/>
      <w:lvlText w:val="●"/>
      <w:lvlJc w:val="left"/>
      <w:pPr>
        <w:ind w:left="5040" w:hanging="360"/>
      </w:pPr>
    </w:lvl>
    <w:lvl w:ilvl="7" w:tplc="29D40E4A">
      <w:start w:val="1"/>
      <w:numFmt w:val="bullet"/>
      <w:lvlText w:val="●"/>
      <w:lvlJc w:val="left"/>
      <w:pPr>
        <w:ind w:left="5760" w:hanging="360"/>
      </w:pPr>
    </w:lvl>
    <w:lvl w:ilvl="8" w:tplc="93D6E8E0">
      <w:start w:val="1"/>
      <w:numFmt w:val="bullet"/>
      <w:lvlText w:val="●"/>
      <w:lvlJc w:val="left"/>
      <w:pPr>
        <w:ind w:left="6480" w:hanging="360"/>
      </w:pPr>
    </w:lvl>
  </w:abstractNum>
  <w:num w:numId="1" w16cid:durableId="1445417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9F0"/>
    <w:rsid w:val="001569F0"/>
    <w:rsid w:val="00250D2B"/>
    <w:rsid w:val="00430545"/>
    <w:rsid w:val="00FF11D8"/>
    <w:rsid w:val="00FF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DCB0E"/>
  <w15:docId w15:val="{6EE85A80-BFC4-499E-B6C3-017267F2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Giuliano Percope</cp:lastModifiedBy>
  <cp:revision>3</cp:revision>
  <dcterms:created xsi:type="dcterms:W3CDTF">2026-04-27T22:35:00Z</dcterms:created>
  <dcterms:modified xsi:type="dcterms:W3CDTF">2026-04-27T22:43:00Z</dcterms:modified>
</cp:coreProperties>
</file>