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123113" w14:textId="1041CD4C" w:rsidR="000B194F" w:rsidRPr="00986113" w:rsidRDefault="005424B4" w:rsidP="00986113">
      <w:pPr>
        <w:spacing w:before="28" w:after="28" w:line="480" w:lineRule="auto"/>
        <w:rPr>
          <w:sz w:val="20"/>
        </w:rPr>
      </w:pPr>
      <w:r w:rsidRPr="00986113">
        <w:rPr>
          <w:rFonts w:eastAsia="Times New Roman" w:cs="Times New Roman"/>
          <w:b/>
          <w:bCs/>
          <w:sz w:val="32"/>
          <w:szCs w:val="36"/>
          <w:lang w:eastAsia="en-GB"/>
        </w:rPr>
        <w:t xml:space="preserve">Pre-publication data release policy – the </w:t>
      </w:r>
      <w:r w:rsidR="00986113" w:rsidRPr="00986113">
        <w:rPr>
          <w:rFonts w:eastAsia="Times New Roman" w:cs="Times New Roman"/>
          <w:b/>
          <w:bCs/>
          <w:sz w:val="32"/>
          <w:szCs w:val="36"/>
          <w:lang w:eastAsia="en-GB"/>
        </w:rPr>
        <w:t xml:space="preserve">GoDMC </w:t>
      </w:r>
      <w:r w:rsidR="00264675" w:rsidRPr="00986113">
        <w:rPr>
          <w:rFonts w:eastAsia="Times New Roman" w:cs="Times New Roman"/>
          <w:b/>
          <w:bCs/>
          <w:sz w:val="32"/>
          <w:szCs w:val="36"/>
          <w:lang w:eastAsia="en-GB"/>
        </w:rPr>
        <w:t>consortium</w:t>
      </w:r>
      <w:r w:rsidR="004E6458" w:rsidRPr="00986113">
        <w:rPr>
          <w:rFonts w:eastAsia="Times New Roman" w:cs="Times New Roman"/>
          <w:b/>
          <w:bCs/>
          <w:sz w:val="24"/>
          <w:szCs w:val="28"/>
          <w:lang w:eastAsia="en-GB"/>
        </w:rPr>
        <w:t xml:space="preserve"> </w:t>
      </w:r>
    </w:p>
    <w:p w14:paraId="629D90F3" w14:textId="275754E2" w:rsidR="000E6046" w:rsidRDefault="000E6046" w:rsidP="004E6458">
      <w:pPr>
        <w:tabs>
          <w:tab w:val="clear" w:pos="720"/>
        </w:tabs>
        <w:suppressAutoHyphens w:val="0"/>
        <w:spacing w:line="480" w:lineRule="auto"/>
      </w:pPr>
    </w:p>
    <w:p w14:paraId="13F37B37" w14:textId="77777777" w:rsidR="000B194F" w:rsidRDefault="005424B4" w:rsidP="004E6458">
      <w:pPr>
        <w:spacing w:line="480" w:lineRule="auto"/>
      </w:pPr>
      <w:r>
        <w:rPr>
          <w:b/>
          <w:sz w:val="28"/>
          <w:szCs w:val="28"/>
        </w:rPr>
        <w:t xml:space="preserve">Project Proposal  </w:t>
      </w:r>
    </w:p>
    <w:p w14:paraId="3E4B0C4F" w14:textId="3001272A" w:rsidR="000B194F" w:rsidRDefault="005424B4" w:rsidP="004E6458">
      <w:pPr>
        <w:spacing w:line="480" w:lineRule="auto"/>
      </w:pPr>
      <w:r>
        <w:rPr>
          <w:i/>
        </w:rPr>
        <w:t xml:space="preserve">Submitted to the </w:t>
      </w:r>
      <w:r w:rsidR="00264675">
        <w:rPr>
          <w:i/>
        </w:rPr>
        <w:t>GoDMC</w:t>
      </w:r>
      <w:r>
        <w:rPr>
          <w:i/>
        </w:rPr>
        <w:t xml:space="preserve"> consortium:</w:t>
      </w:r>
      <w:r>
        <w:t xml:space="preserve"> </w:t>
      </w:r>
      <w:r w:rsidR="00E405ED">
        <w:t>20</w:t>
      </w:r>
      <w:r w:rsidR="000E0384">
        <w:t>2</w:t>
      </w:r>
      <w:r w:rsidR="00E405ED">
        <w:t>1</w:t>
      </w:r>
      <w:r>
        <w:t>-</w:t>
      </w:r>
      <w:r w:rsidR="00E405ED">
        <w:t>0</w:t>
      </w:r>
      <w:r w:rsidR="004E6458">
        <w:t>4</w:t>
      </w:r>
      <w:r>
        <w:t>-</w:t>
      </w:r>
      <w:r w:rsidR="00434F87">
        <w:t>13</w:t>
      </w:r>
    </w:p>
    <w:p w14:paraId="3535B493" w14:textId="1BAAFCAB" w:rsidR="000B194F" w:rsidRDefault="005424B4" w:rsidP="004E6458">
      <w:pPr>
        <w:spacing w:line="480" w:lineRule="auto"/>
      </w:pPr>
      <w:r>
        <w:rPr>
          <w:i/>
        </w:rPr>
        <w:t>Project Title:</w:t>
      </w:r>
      <w:r>
        <w:t xml:space="preserve"> </w:t>
      </w:r>
      <w:bookmarkStart w:id="0" w:name="_Hlk66615457"/>
      <w:bookmarkStart w:id="1" w:name="_Hlk66615411"/>
      <w:r w:rsidR="0055224B">
        <w:t>M</w:t>
      </w:r>
      <w:r w:rsidR="000E0384">
        <w:t>R analysis to examine causal associations of</w:t>
      </w:r>
      <w:r w:rsidR="0055224B">
        <w:t xml:space="preserve"> cord blood</w:t>
      </w:r>
      <w:r w:rsidR="0055224B" w:rsidRPr="0055224B">
        <w:t xml:space="preserve"> vitamin B12 concentrations </w:t>
      </w:r>
      <w:r w:rsidR="000E0384">
        <w:t>on</w:t>
      </w:r>
      <w:r w:rsidR="0055224B" w:rsidRPr="0055224B">
        <w:t xml:space="preserve"> cord blood DNA methylation</w:t>
      </w:r>
      <w:bookmarkEnd w:id="0"/>
      <w:bookmarkEnd w:id="1"/>
    </w:p>
    <w:p w14:paraId="73EF94E9" w14:textId="77777777" w:rsidR="007F249A" w:rsidRDefault="007F249A" w:rsidP="004E6458">
      <w:pPr>
        <w:spacing w:line="480" w:lineRule="auto"/>
        <w:rPr>
          <w:i/>
        </w:rPr>
      </w:pPr>
    </w:p>
    <w:p w14:paraId="4D43EE3A" w14:textId="23A8EF2F" w:rsidR="000B194F" w:rsidRDefault="00434F87" w:rsidP="004E6458">
      <w:pPr>
        <w:spacing w:line="480" w:lineRule="auto"/>
      </w:pPr>
      <w:r>
        <w:rPr>
          <w:i/>
        </w:rPr>
        <w:t>Aim</w:t>
      </w:r>
      <w:r w:rsidR="005424B4">
        <w:rPr>
          <w:i/>
        </w:rPr>
        <w:t>:</w:t>
      </w:r>
      <w:r w:rsidR="00E405ED">
        <w:rPr>
          <w:i/>
        </w:rPr>
        <w:t xml:space="preserve"> </w:t>
      </w:r>
      <w:r w:rsidR="00E405ED" w:rsidRPr="004E6458">
        <w:rPr>
          <w:iCs/>
        </w:rPr>
        <w:t xml:space="preserve">Perform a two-sample Mendelian Randomization analysis </w:t>
      </w:r>
      <w:r w:rsidR="00004756" w:rsidRPr="004E6458">
        <w:rPr>
          <w:iCs/>
        </w:rPr>
        <w:t>to assess causality in the association of</w:t>
      </w:r>
      <w:r w:rsidR="00E405ED" w:rsidRPr="004E6458">
        <w:rPr>
          <w:iCs/>
        </w:rPr>
        <w:t xml:space="preserve"> cord blood B12 concentrations </w:t>
      </w:r>
      <w:r w:rsidR="00004756" w:rsidRPr="004E6458">
        <w:rPr>
          <w:iCs/>
        </w:rPr>
        <w:t>with</w:t>
      </w:r>
      <w:r w:rsidR="00E405ED" w:rsidRPr="004E6458">
        <w:rPr>
          <w:iCs/>
        </w:rPr>
        <w:t xml:space="preserve"> cord blood DNA methylation.</w:t>
      </w:r>
      <w:r w:rsidR="00E405ED">
        <w:rPr>
          <w:i/>
        </w:rPr>
        <w:t xml:space="preserve"> </w:t>
      </w:r>
    </w:p>
    <w:p w14:paraId="493095F8" w14:textId="77777777" w:rsidR="007F249A" w:rsidRDefault="007F249A" w:rsidP="004E6458">
      <w:pPr>
        <w:spacing w:line="480" w:lineRule="auto"/>
        <w:rPr>
          <w:i/>
        </w:rPr>
      </w:pPr>
    </w:p>
    <w:p w14:paraId="4216F66B" w14:textId="5231A112" w:rsidR="000B194F" w:rsidRPr="004E6458" w:rsidRDefault="005424B4" w:rsidP="004E6458">
      <w:pPr>
        <w:pStyle w:val="NormalWeb"/>
        <w:spacing w:line="480" w:lineRule="auto"/>
      </w:pPr>
      <w:r w:rsidRPr="004E6458">
        <w:rPr>
          <w:rFonts w:ascii="Calibri" w:hAnsi="Calibri"/>
        </w:rPr>
        <w:t>Abstract</w:t>
      </w:r>
      <w:r w:rsidR="000315A8" w:rsidRPr="004E6458">
        <w:rPr>
          <w:rFonts w:ascii="Calibri" w:hAnsi="Calibri"/>
        </w:rPr>
        <w:t>:</w:t>
      </w:r>
    </w:p>
    <w:p w14:paraId="629F4FD7" w14:textId="587FC4F8" w:rsidR="00E405ED" w:rsidRPr="004E6458" w:rsidRDefault="00E405ED" w:rsidP="004E6458">
      <w:pPr>
        <w:pStyle w:val="NormalWeb"/>
        <w:spacing w:line="480" w:lineRule="auto"/>
      </w:pPr>
      <w:r w:rsidRPr="004E6458">
        <w:rPr>
          <w:rFonts w:ascii="Calibri" w:hAnsi="Calibri"/>
          <w:sz w:val="22"/>
          <w:szCs w:val="22"/>
        </w:rPr>
        <w:t xml:space="preserve">Within the Pregnancy And Childhood Epigenetics (PACE) </w:t>
      </w:r>
      <w:r w:rsidR="000E0384" w:rsidRPr="004E6458">
        <w:rPr>
          <w:rFonts w:ascii="Calibri" w:hAnsi="Calibri"/>
          <w:sz w:val="22"/>
          <w:szCs w:val="22"/>
        </w:rPr>
        <w:t>C</w:t>
      </w:r>
      <w:r w:rsidR="00CB4D15" w:rsidRPr="004E6458">
        <w:rPr>
          <w:rFonts w:ascii="Calibri" w:hAnsi="Calibri"/>
          <w:sz w:val="22"/>
          <w:szCs w:val="22"/>
        </w:rPr>
        <w:t xml:space="preserve">onsortium </w:t>
      </w:r>
      <w:r w:rsidRPr="004E6458">
        <w:rPr>
          <w:rFonts w:ascii="Calibri" w:hAnsi="Calibri"/>
          <w:sz w:val="22"/>
          <w:szCs w:val="22"/>
        </w:rPr>
        <w:t xml:space="preserve">we have conducted a meta-analysis of epigenome-wide association studies investigating associations of circulating cord blood vitamin B12 concentrations and cord blood DNA methylation. This meta-analysis resulted in 7 FDR-significant CpGs in relation to cord blood vitamin B12 concentrations. To examine whether these associations reflect a causal effect of </w:t>
      </w:r>
      <w:r w:rsidR="00004756" w:rsidRPr="004E6458">
        <w:rPr>
          <w:rFonts w:ascii="Calibri" w:hAnsi="Calibri"/>
          <w:sz w:val="22"/>
          <w:szCs w:val="22"/>
        </w:rPr>
        <w:t>cord blood</w:t>
      </w:r>
      <w:r w:rsidRPr="004E6458">
        <w:rPr>
          <w:rFonts w:ascii="Calibri" w:hAnsi="Calibri"/>
          <w:sz w:val="22"/>
          <w:szCs w:val="22"/>
        </w:rPr>
        <w:t xml:space="preserve"> vitamin B12 concentrations on cord blood DNA methylation, we aim to use a </w:t>
      </w:r>
      <w:r w:rsidR="001D7759" w:rsidRPr="004E6458">
        <w:rPr>
          <w:rFonts w:ascii="Calibri" w:hAnsi="Calibri"/>
          <w:sz w:val="22"/>
          <w:szCs w:val="22"/>
        </w:rPr>
        <w:t>two</w:t>
      </w:r>
      <w:r w:rsidRPr="004E6458">
        <w:rPr>
          <w:rFonts w:ascii="Calibri" w:hAnsi="Calibri"/>
          <w:sz w:val="22"/>
          <w:szCs w:val="22"/>
        </w:rPr>
        <w:t xml:space="preserve">-sample Mendelian randomization (MR) meta-analysis approach. </w:t>
      </w:r>
      <w:r w:rsidR="00004756" w:rsidRPr="004E6458">
        <w:rPr>
          <w:rFonts w:ascii="Calibri" w:hAnsi="Calibri"/>
          <w:sz w:val="22"/>
          <w:szCs w:val="22"/>
        </w:rPr>
        <w:t>We selected</w:t>
      </w:r>
      <w:r w:rsidRPr="004E6458">
        <w:rPr>
          <w:rFonts w:ascii="Calibri" w:hAnsi="Calibri"/>
          <w:sz w:val="22"/>
          <w:szCs w:val="22"/>
        </w:rPr>
        <w:t xml:space="preserve"> </w:t>
      </w:r>
      <w:r w:rsidR="00004756" w:rsidRPr="004E6458">
        <w:rPr>
          <w:rFonts w:ascii="Calibri" w:hAnsi="Calibri"/>
          <w:sz w:val="22"/>
          <w:szCs w:val="22"/>
        </w:rPr>
        <w:t>1</w:t>
      </w:r>
      <w:r w:rsidR="00347E92" w:rsidRPr="004E6458">
        <w:rPr>
          <w:rFonts w:ascii="Calibri" w:hAnsi="Calibri"/>
          <w:sz w:val="22"/>
          <w:szCs w:val="22"/>
        </w:rPr>
        <w:t>0</w:t>
      </w:r>
      <w:r w:rsidR="00004756" w:rsidRPr="004E6458">
        <w:rPr>
          <w:rFonts w:ascii="Calibri" w:hAnsi="Calibri"/>
          <w:sz w:val="22"/>
          <w:szCs w:val="22"/>
        </w:rPr>
        <w:t xml:space="preserve"> SNPs</w:t>
      </w:r>
      <w:r w:rsidRPr="004E6458">
        <w:rPr>
          <w:rFonts w:ascii="Calibri" w:hAnsi="Calibri"/>
          <w:sz w:val="22"/>
          <w:szCs w:val="22"/>
        </w:rPr>
        <w:t xml:space="preserve"> based on their robust associations at genome-wide significance with circulating vitamin </w:t>
      </w:r>
      <w:r w:rsidR="00590BF3">
        <w:rPr>
          <w:rFonts w:ascii="Calibri" w:hAnsi="Calibri"/>
          <w:sz w:val="22"/>
          <w:szCs w:val="22"/>
        </w:rPr>
        <w:t xml:space="preserve">B12 </w:t>
      </w:r>
      <w:r w:rsidRPr="004E6458">
        <w:rPr>
          <w:rFonts w:ascii="Calibri" w:hAnsi="Calibri"/>
          <w:sz w:val="22"/>
          <w:szCs w:val="22"/>
        </w:rPr>
        <w:t>concentrations, as reported by a genome-wide association study (GWAS) among 45,576 individuals from Denmark and Iceland (</w:t>
      </w:r>
      <w:r w:rsidR="0055224B" w:rsidRPr="004E6458">
        <w:rPr>
          <w:rFonts w:ascii="Calibri" w:hAnsi="Calibri"/>
          <w:sz w:val="22"/>
          <w:szCs w:val="22"/>
        </w:rPr>
        <w:t>1</w:t>
      </w:r>
      <w:r w:rsidRPr="004E6458">
        <w:rPr>
          <w:rFonts w:ascii="Calibri" w:hAnsi="Calibri"/>
          <w:sz w:val="22"/>
          <w:szCs w:val="22"/>
        </w:rPr>
        <w:t xml:space="preserve">). Using multiple independent SNPs </w:t>
      </w:r>
      <w:r w:rsidR="00590BF3">
        <w:rPr>
          <w:rFonts w:ascii="Calibri" w:hAnsi="Calibri"/>
          <w:sz w:val="22"/>
          <w:szCs w:val="22"/>
        </w:rPr>
        <w:t>likely</w:t>
      </w:r>
      <w:r w:rsidR="00590BF3" w:rsidRPr="004E6458">
        <w:rPr>
          <w:rFonts w:ascii="Calibri" w:hAnsi="Calibri"/>
          <w:sz w:val="22"/>
          <w:szCs w:val="22"/>
        </w:rPr>
        <w:t xml:space="preserve"> </w:t>
      </w:r>
      <w:r w:rsidRPr="004E6458">
        <w:rPr>
          <w:rFonts w:ascii="Calibri" w:hAnsi="Calibri"/>
          <w:sz w:val="22"/>
          <w:szCs w:val="22"/>
        </w:rPr>
        <w:t>increase</w:t>
      </w:r>
      <w:r w:rsidR="00590BF3">
        <w:rPr>
          <w:rFonts w:ascii="Calibri" w:hAnsi="Calibri"/>
          <w:sz w:val="22"/>
          <w:szCs w:val="22"/>
        </w:rPr>
        <w:t>s</w:t>
      </w:r>
      <w:r w:rsidRPr="004E6458">
        <w:rPr>
          <w:rFonts w:ascii="Calibri" w:hAnsi="Calibri"/>
          <w:sz w:val="22"/>
          <w:szCs w:val="22"/>
        </w:rPr>
        <w:t xml:space="preserve"> power, as they collectively will explain more of the variance in vitamin B12 concentrations (</w:t>
      </w:r>
      <w:r w:rsidR="0055224B" w:rsidRPr="004E6458">
        <w:rPr>
          <w:rFonts w:ascii="Calibri" w:hAnsi="Calibri"/>
          <w:sz w:val="22"/>
          <w:szCs w:val="22"/>
        </w:rPr>
        <w:t>2</w:t>
      </w:r>
      <w:r w:rsidRPr="004E6458">
        <w:rPr>
          <w:rFonts w:ascii="Calibri" w:hAnsi="Calibri"/>
          <w:sz w:val="22"/>
          <w:szCs w:val="22"/>
        </w:rPr>
        <w:t>).</w:t>
      </w:r>
      <w:r w:rsidR="000E0384" w:rsidRPr="004E6458">
        <w:rPr>
          <w:rFonts w:ascii="Calibri" w:hAnsi="Calibri"/>
          <w:sz w:val="22"/>
          <w:szCs w:val="22"/>
        </w:rPr>
        <w:t xml:space="preserve"> We aim to </w:t>
      </w:r>
      <w:r w:rsidR="000E0384" w:rsidRPr="004E6458">
        <w:rPr>
          <w:rFonts w:ascii="Calibri" w:hAnsi="Calibri"/>
          <w:sz w:val="22"/>
          <w:szCs w:val="22"/>
        </w:rPr>
        <w:lastRenderedPageBreak/>
        <w:t>use these SNPs as genetic instruments for vitamin B12 levels and to examine their associations with DNA methylation at the 7 identified CpGs</w:t>
      </w:r>
      <w:r w:rsidR="005E7032" w:rsidRPr="004E6458">
        <w:rPr>
          <w:rFonts w:ascii="Calibri" w:hAnsi="Calibri"/>
          <w:sz w:val="22"/>
          <w:szCs w:val="22"/>
        </w:rPr>
        <w:t>.</w:t>
      </w:r>
      <w:r w:rsidR="000E0384" w:rsidRPr="004E6458">
        <w:rPr>
          <w:rFonts w:ascii="Calibri" w:hAnsi="Calibri"/>
          <w:sz w:val="22"/>
          <w:szCs w:val="22"/>
        </w:rPr>
        <w:t xml:space="preserve"> </w:t>
      </w:r>
    </w:p>
    <w:p w14:paraId="15969836" w14:textId="5427326D" w:rsidR="0055224B" w:rsidRDefault="0055224B" w:rsidP="004E6458">
      <w:pPr>
        <w:tabs>
          <w:tab w:val="clear" w:pos="720"/>
        </w:tabs>
        <w:suppressAutoHyphens w:val="0"/>
        <w:spacing w:line="480" w:lineRule="auto"/>
        <w:rPr>
          <w:rFonts w:cstheme="minorHAnsi"/>
          <w:bCs/>
        </w:rPr>
      </w:pPr>
    </w:p>
    <w:p w14:paraId="7E3201D0" w14:textId="73187013" w:rsidR="000E6046" w:rsidRPr="000E6046" w:rsidRDefault="00434F87" w:rsidP="004E6458">
      <w:pPr>
        <w:tabs>
          <w:tab w:val="clear" w:pos="720"/>
        </w:tabs>
        <w:suppressAutoHyphens w:val="0"/>
        <w:spacing w:line="480" w:lineRule="auto"/>
        <w:rPr>
          <w:i/>
        </w:rPr>
      </w:pPr>
      <w:r>
        <w:rPr>
          <w:i/>
        </w:rPr>
        <w:t>Principal Analyst</w:t>
      </w:r>
      <w:r w:rsidR="000E6046" w:rsidRPr="000E6046">
        <w:rPr>
          <w:i/>
        </w:rPr>
        <w:t>:</w:t>
      </w:r>
      <w:r w:rsidR="009C6AD9">
        <w:rPr>
          <w:i/>
        </w:rPr>
        <w:t xml:space="preserve"> </w:t>
      </w:r>
      <w:r w:rsidR="009C6AD9" w:rsidRPr="004E6458">
        <w:rPr>
          <w:iCs/>
        </w:rPr>
        <w:t>Giulietta Monasso</w:t>
      </w:r>
    </w:p>
    <w:p w14:paraId="20C451E3" w14:textId="2AC84298" w:rsidR="000B194F" w:rsidRDefault="00434F87" w:rsidP="004E6458">
      <w:pPr>
        <w:spacing w:line="480" w:lineRule="auto"/>
      </w:pPr>
      <w:r>
        <w:rPr>
          <w:i/>
        </w:rPr>
        <w:t>Principal Investigators</w:t>
      </w:r>
      <w:r w:rsidR="005424B4">
        <w:rPr>
          <w:i/>
        </w:rPr>
        <w:t xml:space="preserve">: </w:t>
      </w:r>
      <w:r w:rsidR="009C6AD9">
        <w:rPr>
          <w:i/>
        </w:rPr>
        <w:t xml:space="preserve"> </w:t>
      </w:r>
      <w:r w:rsidR="009C6AD9" w:rsidRPr="004E6458">
        <w:rPr>
          <w:iCs/>
        </w:rPr>
        <w:t>Gemma Sharp, Janine Felix</w:t>
      </w:r>
    </w:p>
    <w:p w14:paraId="3CE39469" w14:textId="77777777" w:rsidR="007F249A" w:rsidRDefault="007F249A" w:rsidP="004E6458">
      <w:pPr>
        <w:spacing w:line="480" w:lineRule="auto"/>
      </w:pPr>
    </w:p>
    <w:p w14:paraId="20142342" w14:textId="48F3AB90" w:rsidR="00A37850" w:rsidRPr="00F21CB8" w:rsidRDefault="005424B4" w:rsidP="004E6458">
      <w:pPr>
        <w:spacing w:line="480" w:lineRule="auto"/>
        <w:rPr>
          <w:b/>
        </w:rPr>
      </w:pPr>
      <w:r w:rsidRPr="00647019">
        <w:rPr>
          <w:b/>
          <w:sz w:val="24"/>
          <w:szCs w:val="24"/>
          <w:u w:val="single"/>
        </w:rPr>
        <w:t xml:space="preserve">Data requested from the </w:t>
      </w:r>
      <w:r w:rsidR="00264675" w:rsidRPr="00647019">
        <w:rPr>
          <w:b/>
          <w:sz w:val="24"/>
          <w:szCs w:val="24"/>
          <w:u w:val="single"/>
        </w:rPr>
        <w:t xml:space="preserve">GoDMC </w:t>
      </w:r>
      <w:r w:rsidRPr="00647019">
        <w:rPr>
          <w:b/>
          <w:sz w:val="24"/>
          <w:szCs w:val="24"/>
          <w:u w:val="single"/>
        </w:rPr>
        <w:t>Study</w:t>
      </w:r>
    </w:p>
    <w:p w14:paraId="3F996B73" w14:textId="6D317DC4" w:rsidR="00A37850" w:rsidRDefault="00705067" w:rsidP="004E6458">
      <w:pPr>
        <w:spacing w:line="480" w:lineRule="auto"/>
        <w:rPr>
          <w:b/>
          <w:i/>
        </w:rPr>
      </w:pPr>
      <w:r>
        <w:rPr>
          <w:b/>
          <w:i/>
        </w:rPr>
        <w:t>Only s</w:t>
      </w:r>
      <w:r w:rsidR="00A37850" w:rsidRPr="00A37850">
        <w:rPr>
          <w:b/>
          <w:i/>
        </w:rPr>
        <w:t>ummary statistics</w:t>
      </w:r>
      <w:r>
        <w:rPr>
          <w:b/>
          <w:i/>
        </w:rPr>
        <w:t xml:space="preserve"> can be requested</w:t>
      </w:r>
    </w:p>
    <w:p w14:paraId="3E869EC3" w14:textId="34BCC4F2" w:rsidR="0025661F" w:rsidRPr="004E6458" w:rsidRDefault="009C6AD9" w:rsidP="004E6458">
      <w:pPr>
        <w:tabs>
          <w:tab w:val="clear" w:pos="720"/>
        </w:tabs>
        <w:suppressAutoHyphens w:val="0"/>
        <w:spacing w:line="480" w:lineRule="auto"/>
        <w:rPr>
          <w:iCs/>
        </w:rPr>
      </w:pPr>
      <w:r w:rsidRPr="004E6458">
        <w:rPr>
          <w:iCs/>
        </w:rPr>
        <w:t xml:space="preserve">We request </w:t>
      </w:r>
      <w:r w:rsidR="00B65D5A">
        <w:rPr>
          <w:iCs/>
        </w:rPr>
        <w:t>summary statistics of</w:t>
      </w:r>
      <w:r w:rsidRPr="004E6458">
        <w:rPr>
          <w:iCs/>
        </w:rPr>
        <w:t xml:space="preserve"> all </w:t>
      </w:r>
      <w:r w:rsidR="00D6218F" w:rsidRPr="004E6458">
        <w:rPr>
          <w:iCs/>
        </w:rPr>
        <w:t xml:space="preserve">7 </w:t>
      </w:r>
      <w:r w:rsidRPr="004E6458">
        <w:rPr>
          <w:iCs/>
        </w:rPr>
        <w:t xml:space="preserve">CpGs and </w:t>
      </w:r>
      <w:r w:rsidR="00D6218F" w:rsidRPr="004E6458">
        <w:rPr>
          <w:iCs/>
        </w:rPr>
        <w:t>1</w:t>
      </w:r>
      <w:r w:rsidR="00347E92" w:rsidRPr="004E6458">
        <w:rPr>
          <w:iCs/>
        </w:rPr>
        <w:t>0</w:t>
      </w:r>
      <w:r w:rsidR="00D6218F" w:rsidRPr="004E6458">
        <w:rPr>
          <w:iCs/>
        </w:rPr>
        <w:t xml:space="preserve"> </w:t>
      </w:r>
      <w:r w:rsidRPr="004E6458">
        <w:rPr>
          <w:iCs/>
        </w:rPr>
        <w:t>SNPs</w:t>
      </w:r>
      <w:r w:rsidR="00D6218F" w:rsidRPr="004E6458">
        <w:rPr>
          <w:iCs/>
        </w:rPr>
        <w:t xml:space="preserve"> (or proxie</w:t>
      </w:r>
      <w:r w:rsidR="00671C8F" w:rsidRPr="004E6458">
        <w:rPr>
          <w:iCs/>
        </w:rPr>
        <w:t>s</w:t>
      </w:r>
      <w:r w:rsidR="00D6218F" w:rsidRPr="004E6458">
        <w:rPr>
          <w:iCs/>
        </w:rPr>
        <w:t>)</w:t>
      </w:r>
      <w:r w:rsidRPr="004E6458">
        <w:rPr>
          <w:iCs/>
        </w:rPr>
        <w:t xml:space="preserve"> listed in </w:t>
      </w:r>
      <w:r w:rsidRPr="00B65D5A">
        <w:rPr>
          <w:b/>
          <w:iCs/>
        </w:rPr>
        <w:t>Tables 1</w:t>
      </w:r>
      <w:r w:rsidR="00590BF3" w:rsidRPr="00B65D5A">
        <w:rPr>
          <w:b/>
          <w:iCs/>
        </w:rPr>
        <w:t xml:space="preserve"> </w:t>
      </w:r>
      <w:r w:rsidR="00590BF3" w:rsidRPr="00B65D5A">
        <w:rPr>
          <w:iCs/>
        </w:rPr>
        <w:t>and</w:t>
      </w:r>
      <w:r w:rsidR="00590BF3" w:rsidRPr="00B65D5A">
        <w:rPr>
          <w:b/>
          <w:iCs/>
        </w:rPr>
        <w:t xml:space="preserve"> </w:t>
      </w:r>
      <w:r w:rsidRPr="00B65D5A">
        <w:rPr>
          <w:b/>
          <w:iCs/>
        </w:rPr>
        <w:t>2</w:t>
      </w:r>
      <w:r w:rsidRPr="004E6458">
        <w:rPr>
          <w:iCs/>
        </w:rPr>
        <w:t xml:space="preserve">. </w:t>
      </w:r>
    </w:p>
    <w:p w14:paraId="4E31DD39" w14:textId="77777777" w:rsidR="00590BF3" w:rsidRDefault="00590BF3" w:rsidP="004E6458">
      <w:pPr>
        <w:tabs>
          <w:tab w:val="clear" w:pos="720"/>
        </w:tabs>
        <w:suppressAutoHyphens w:val="0"/>
        <w:spacing w:line="480" w:lineRule="auto"/>
      </w:pPr>
    </w:p>
    <w:p w14:paraId="65C18167" w14:textId="525ACA7C" w:rsidR="00CB4D15" w:rsidRPr="00B65D5A" w:rsidRDefault="005424B4" w:rsidP="004E6458">
      <w:pPr>
        <w:tabs>
          <w:tab w:val="clear" w:pos="720"/>
        </w:tabs>
        <w:suppressAutoHyphens w:val="0"/>
        <w:spacing w:line="480" w:lineRule="auto"/>
      </w:pPr>
      <w:r>
        <w:rPr>
          <w:i/>
        </w:rPr>
        <w:t xml:space="preserve">Analysis </w:t>
      </w:r>
      <w:r w:rsidR="000E6046">
        <w:rPr>
          <w:i/>
        </w:rPr>
        <w:t>plan</w:t>
      </w:r>
      <w:r w:rsidR="007F249A">
        <w:rPr>
          <w:i/>
        </w:rPr>
        <w:t xml:space="preserve"> </w:t>
      </w:r>
    </w:p>
    <w:p w14:paraId="4B8E3564" w14:textId="08695D4D" w:rsidR="00CB4D15" w:rsidRPr="00F7762C" w:rsidRDefault="007516A3" w:rsidP="004E6458">
      <w:pPr>
        <w:tabs>
          <w:tab w:val="clear" w:pos="720"/>
        </w:tabs>
        <w:suppressAutoHyphens w:val="0"/>
        <w:spacing w:line="480" w:lineRule="auto"/>
        <w:rPr>
          <w:b/>
          <w:bCs/>
          <w:lang w:val="en-US"/>
        </w:rPr>
      </w:pPr>
      <w:r w:rsidRPr="00F7762C">
        <w:rPr>
          <w:b/>
          <w:bCs/>
          <w:lang w:val="en-US"/>
        </w:rPr>
        <w:t>Instruments</w:t>
      </w:r>
    </w:p>
    <w:p w14:paraId="0E15E730" w14:textId="3856EA1F" w:rsidR="006B1401" w:rsidRDefault="00CB4D15" w:rsidP="004E6458">
      <w:pPr>
        <w:tabs>
          <w:tab w:val="clear" w:pos="720"/>
        </w:tabs>
        <w:suppressAutoHyphens w:val="0"/>
        <w:spacing w:line="480" w:lineRule="auto"/>
        <w:rPr>
          <w:bCs/>
          <w:lang w:val="en-US"/>
        </w:rPr>
      </w:pPr>
      <w:r w:rsidRPr="00F7762C">
        <w:rPr>
          <w:bCs/>
          <w:lang w:val="en-US"/>
        </w:rPr>
        <w:t>The 1</w:t>
      </w:r>
      <w:r w:rsidR="00347E92">
        <w:rPr>
          <w:bCs/>
          <w:lang w:val="en-US"/>
        </w:rPr>
        <w:t>0</w:t>
      </w:r>
      <w:r w:rsidRPr="00F7762C">
        <w:rPr>
          <w:bCs/>
          <w:lang w:val="en-US"/>
        </w:rPr>
        <w:t xml:space="preserve"> SNPs (</w:t>
      </w:r>
      <w:r w:rsidRPr="00F7762C">
        <w:rPr>
          <w:b/>
          <w:bCs/>
          <w:lang w:val="en-US"/>
        </w:rPr>
        <w:t xml:space="preserve">Table </w:t>
      </w:r>
      <w:r w:rsidR="00F7762C">
        <w:rPr>
          <w:b/>
          <w:bCs/>
          <w:lang w:val="en-US"/>
        </w:rPr>
        <w:t>2</w:t>
      </w:r>
      <w:r w:rsidRPr="00F7762C">
        <w:rPr>
          <w:bCs/>
          <w:lang w:val="en-US"/>
        </w:rPr>
        <w:t xml:space="preserve">) that we selected based on their robust associations at genome-wide significance with circulating vitamin concentrations, as reported by a genome-wide association study (GWAS) among 45,576 individuals from Denmark and Iceland (2). </w:t>
      </w:r>
      <w:r w:rsidR="00347E92">
        <w:rPr>
          <w:bCs/>
          <w:lang w:val="en-US"/>
        </w:rPr>
        <w:t>An additional SNP reported in this GWAS was mono</w:t>
      </w:r>
      <w:r w:rsidR="00590BF3">
        <w:rPr>
          <w:bCs/>
          <w:lang w:val="en-US"/>
        </w:rPr>
        <w:t>morphic</w:t>
      </w:r>
      <w:r w:rsidR="00347E92">
        <w:rPr>
          <w:bCs/>
          <w:lang w:val="en-US"/>
        </w:rPr>
        <w:t xml:space="preserve"> in European</w:t>
      </w:r>
      <w:r w:rsidR="00590BF3">
        <w:rPr>
          <w:bCs/>
          <w:lang w:val="en-US"/>
        </w:rPr>
        <w:t>s</w:t>
      </w:r>
      <w:r w:rsidR="00347E92">
        <w:rPr>
          <w:bCs/>
          <w:lang w:val="en-US"/>
        </w:rPr>
        <w:t xml:space="preserve"> and therefore excluded from the analyses. </w:t>
      </w:r>
    </w:p>
    <w:p w14:paraId="56DFD55A" w14:textId="77777777" w:rsidR="006B1401" w:rsidRDefault="006B1401" w:rsidP="004E6458">
      <w:pPr>
        <w:tabs>
          <w:tab w:val="clear" w:pos="720"/>
        </w:tabs>
        <w:suppressAutoHyphens w:val="0"/>
        <w:spacing w:line="480" w:lineRule="auto"/>
        <w:rPr>
          <w:b/>
          <w:bCs/>
          <w:lang w:val="en-US"/>
        </w:rPr>
      </w:pPr>
    </w:p>
    <w:p w14:paraId="614FB555" w14:textId="66A8054A" w:rsidR="006B1401" w:rsidRPr="00F7762C" w:rsidRDefault="006B1401" w:rsidP="004E6458">
      <w:pPr>
        <w:tabs>
          <w:tab w:val="clear" w:pos="720"/>
        </w:tabs>
        <w:suppressAutoHyphens w:val="0"/>
        <w:spacing w:line="480" w:lineRule="auto"/>
        <w:rPr>
          <w:b/>
          <w:bCs/>
          <w:lang w:val="en-US"/>
        </w:rPr>
      </w:pPr>
      <w:r w:rsidRPr="00F7762C">
        <w:rPr>
          <w:b/>
          <w:bCs/>
          <w:lang w:val="en-US"/>
        </w:rPr>
        <w:t>Outcomes</w:t>
      </w:r>
    </w:p>
    <w:p w14:paraId="28211469" w14:textId="7562F0ED" w:rsidR="006B1401" w:rsidRDefault="006B1401" w:rsidP="004E6458">
      <w:pPr>
        <w:tabs>
          <w:tab w:val="clear" w:pos="720"/>
        </w:tabs>
        <w:suppressAutoHyphens w:val="0"/>
        <w:spacing w:line="480" w:lineRule="auto"/>
        <w:rPr>
          <w:bCs/>
          <w:lang w:val="en-US"/>
        </w:rPr>
      </w:pPr>
      <w:r w:rsidRPr="00F7762C">
        <w:rPr>
          <w:bCs/>
          <w:lang w:val="en-US"/>
        </w:rPr>
        <w:t xml:space="preserve">Cord blood DNA methylation (beta values) from Illumina Infinium HumanMethylation450 at the 7 CpGs that were differently methylated in relation to cord blood vitamin B12 concentrations in the PACE meta-analysis. </w:t>
      </w:r>
    </w:p>
    <w:p w14:paraId="550ECC90" w14:textId="77777777" w:rsidR="006B1401" w:rsidRPr="006B1401" w:rsidRDefault="006B1401" w:rsidP="004E6458">
      <w:pPr>
        <w:tabs>
          <w:tab w:val="clear" w:pos="720"/>
        </w:tabs>
        <w:suppressAutoHyphens w:val="0"/>
        <w:spacing w:line="480" w:lineRule="auto"/>
        <w:rPr>
          <w:b/>
          <w:bCs/>
          <w:lang w:val="en-US"/>
        </w:rPr>
      </w:pPr>
      <w:r w:rsidRPr="006B1401">
        <w:rPr>
          <w:b/>
          <w:bCs/>
          <w:lang w:val="en-US"/>
        </w:rPr>
        <w:lastRenderedPageBreak/>
        <w:t>Summary statistics</w:t>
      </w:r>
    </w:p>
    <w:p w14:paraId="737CDE9B" w14:textId="0089EAA0" w:rsidR="00CB4D15" w:rsidRPr="00F7762C" w:rsidRDefault="006B1401" w:rsidP="004E6458">
      <w:pPr>
        <w:tabs>
          <w:tab w:val="clear" w:pos="720"/>
        </w:tabs>
        <w:suppressAutoHyphens w:val="0"/>
        <w:spacing w:line="480" w:lineRule="auto"/>
        <w:rPr>
          <w:bCs/>
          <w:lang w:val="en-US"/>
        </w:rPr>
      </w:pPr>
      <w:r>
        <w:rPr>
          <w:bCs/>
          <w:lang w:val="en-US"/>
        </w:rPr>
        <w:t xml:space="preserve">We will use summary statistics from the GoDMC database. </w:t>
      </w:r>
      <w:r w:rsidR="00F21CB8">
        <w:rPr>
          <w:bCs/>
          <w:lang w:val="en-US"/>
        </w:rPr>
        <w:t>For SNPs not</w:t>
      </w:r>
      <w:r w:rsidR="00E87DDC">
        <w:rPr>
          <w:bCs/>
          <w:lang w:val="en-US"/>
        </w:rPr>
        <w:t xml:space="preserve"> available in GoDMC</w:t>
      </w:r>
      <w:r w:rsidR="00F21CB8">
        <w:rPr>
          <w:bCs/>
          <w:lang w:val="en-US"/>
        </w:rPr>
        <w:t xml:space="preserve">, </w:t>
      </w:r>
      <w:r w:rsidR="00E87DDC">
        <w:rPr>
          <w:bCs/>
          <w:lang w:val="en-US"/>
        </w:rPr>
        <w:t>we will include proxies (R</w:t>
      </w:r>
      <w:r w:rsidR="00E87DDC" w:rsidRPr="004E6458">
        <w:rPr>
          <w:bCs/>
          <w:vertAlign w:val="superscript"/>
          <w:lang w:val="en-US"/>
        </w:rPr>
        <w:t>2</w:t>
      </w:r>
      <w:r w:rsidR="00E87DDC">
        <w:rPr>
          <w:bCs/>
          <w:lang w:val="en-US"/>
        </w:rPr>
        <w:t>&gt;0.8).</w:t>
      </w:r>
    </w:p>
    <w:p w14:paraId="650B3D50" w14:textId="0EAF109E" w:rsidR="007516A3" w:rsidRDefault="007516A3" w:rsidP="004E6458">
      <w:pPr>
        <w:spacing w:after="0" w:line="480" w:lineRule="auto"/>
        <w:rPr>
          <w:rFonts w:cstheme="minorHAnsi"/>
          <w:b/>
          <w:bCs/>
        </w:rPr>
      </w:pPr>
    </w:p>
    <w:p w14:paraId="3471B2A1" w14:textId="5FDBCC19" w:rsidR="007516A3" w:rsidRPr="007516A3" w:rsidRDefault="00E87DDC" w:rsidP="004E6458">
      <w:pPr>
        <w:spacing w:line="480" w:lineRule="auto"/>
        <w:rPr>
          <w:rFonts w:cstheme="minorHAnsi"/>
          <w:b/>
          <w:bCs/>
        </w:rPr>
      </w:pPr>
      <w:r>
        <w:rPr>
          <w:rFonts w:cstheme="minorHAnsi"/>
          <w:b/>
          <w:bCs/>
        </w:rPr>
        <w:t>A</w:t>
      </w:r>
      <w:r w:rsidR="007516A3" w:rsidRPr="007516A3">
        <w:rPr>
          <w:rFonts w:cstheme="minorHAnsi"/>
          <w:b/>
          <w:bCs/>
        </w:rPr>
        <w:t xml:space="preserve">nalysis </w:t>
      </w:r>
    </w:p>
    <w:p w14:paraId="08DE9E30" w14:textId="3E585080" w:rsidR="007516A3" w:rsidRDefault="007516A3" w:rsidP="004E6458">
      <w:pPr>
        <w:spacing w:after="0" w:line="480" w:lineRule="auto"/>
        <w:rPr>
          <w:rFonts w:cstheme="minorHAnsi"/>
          <w:bCs/>
        </w:rPr>
      </w:pPr>
      <w:r w:rsidRPr="0003447A">
        <w:rPr>
          <w:rFonts w:cstheme="minorHAnsi"/>
          <w:bCs/>
        </w:rPr>
        <w:t xml:space="preserve">As done </w:t>
      </w:r>
      <w:r w:rsidR="00590BF3">
        <w:rPr>
          <w:rFonts w:cstheme="minorHAnsi"/>
          <w:bCs/>
        </w:rPr>
        <w:t xml:space="preserve">in </w:t>
      </w:r>
      <w:r w:rsidRPr="0003447A">
        <w:rPr>
          <w:rFonts w:cstheme="minorHAnsi"/>
          <w:bCs/>
        </w:rPr>
        <w:t>previous</w:t>
      </w:r>
      <w:r w:rsidR="00590BF3">
        <w:rPr>
          <w:rFonts w:cstheme="minorHAnsi"/>
          <w:bCs/>
        </w:rPr>
        <w:t xml:space="preserve"> literature using the same SNPs as instruments</w:t>
      </w:r>
      <w:r w:rsidRPr="0003447A">
        <w:rPr>
          <w:rFonts w:cstheme="minorHAnsi"/>
          <w:bCs/>
        </w:rPr>
        <w:t>, we will conduct MR analyses with and without the known pleiotropic variant rs602662 (</w:t>
      </w:r>
      <w:r w:rsidRPr="00845174">
        <w:rPr>
          <w:rFonts w:cstheme="minorHAnsi"/>
          <w:bCs/>
          <w:i/>
        </w:rPr>
        <w:t>FUT2</w:t>
      </w:r>
      <w:r w:rsidRPr="0003447A">
        <w:rPr>
          <w:rFonts w:cstheme="minorHAnsi"/>
          <w:bCs/>
        </w:rPr>
        <w:t>) (</w:t>
      </w:r>
      <w:r>
        <w:rPr>
          <w:rFonts w:cstheme="minorHAnsi"/>
          <w:bCs/>
        </w:rPr>
        <w:t>2</w:t>
      </w:r>
      <w:r w:rsidRPr="0003447A">
        <w:rPr>
          <w:rFonts w:cstheme="minorHAnsi"/>
          <w:bCs/>
        </w:rPr>
        <w:t>).</w:t>
      </w:r>
      <w:r w:rsidR="00E87DDC">
        <w:rPr>
          <w:rFonts w:cstheme="minorHAnsi"/>
          <w:bCs/>
        </w:rPr>
        <w:t xml:space="preserve"> Analyses will </w:t>
      </w:r>
      <w:r w:rsidR="005E7032">
        <w:rPr>
          <w:rFonts w:cstheme="minorHAnsi"/>
          <w:bCs/>
        </w:rPr>
        <w:t xml:space="preserve">be </w:t>
      </w:r>
      <w:r w:rsidR="00E87DDC">
        <w:rPr>
          <w:rFonts w:cstheme="minorHAnsi"/>
          <w:bCs/>
        </w:rPr>
        <w:t>conducted in the one-sample MR package in R.</w:t>
      </w:r>
    </w:p>
    <w:p w14:paraId="62F2A065" w14:textId="77777777" w:rsidR="00B65D5A" w:rsidRDefault="00B65D5A" w:rsidP="00B65D5A">
      <w:pPr>
        <w:tabs>
          <w:tab w:val="clear" w:pos="720"/>
        </w:tabs>
        <w:suppressAutoHyphens w:val="0"/>
        <w:spacing w:line="480" w:lineRule="auto"/>
        <w:rPr>
          <w:i/>
        </w:rPr>
      </w:pPr>
    </w:p>
    <w:p w14:paraId="1D0B821A" w14:textId="5B3031C8" w:rsidR="000B194F" w:rsidRPr="00B65D5A" w:rsidRDefault="005424B4" w:rsidP="00B65D5A">
      <w:pPr>
        <w:tabs>
          <w:tab w:val="clear" w:pos="720"/>
        </w:tabs>
        <w:suppressAutoHyphens w:val="0"/>
        <w:spacing w:line="480" w:lineRule="auto"/>
        <w:rPr>
          <w:i/>
        </w:rPr>
      </w:pPr>
      <w:r w:rsidRPr="000E6046">
        <w:rPr>
          <w:i/>
        </w:rPr>
        <w:t xml:space="preserve">Time line: </w:t>
      </w:r>
    </w:p>
    <w:p w14:paraId="5D8AE7F9" w14:textId="38399AA7" w:rsidR="000B194F" w:rsidRPr="007F249A" w:rsidRDefault="007F249A" w:rsidP="004E6458">
      <w:pPr>
        <w:spacing w:line="480" w:lineRule="auto"/>
        <w:rPr>
          <w:rFonts w:asciiTheme="minorHAnsi" w:hAnsiTheme="minorHAnsi"/>
        </w:rPr>
      </w:pPr>
      <w:r w:rsidRPr="007F249A">
        <w:rPr>
          <w:rFonts w:asciiTheme="minorHAnsi" w:hAnsiTheme="minorHAnsi"/>
        </w:rPr>
        <w:t>Project start:</w:t>
      </w:r>
      <w:r w:rsidR="009C6AD9">
        <w:rPr>
          <w:rFonts w:asciiTheme="minorHAnsi" w:hAnsiTheme="minorHAnsi"/>
        </w:rPr>
        <w:t xml:space="preserve"> </w:t>
      </w:r>
      <w:r w:rsidR="004E6458">
        <w:rPr>
          <w:rFonts w:asciiTheme="minorHAnsi" w:hAnsiTheme="minorHAnsi"/>
        </w:rPr>
        <w:t>A</w:t>
      </w:r>
      <w:r w:rsidR="004E6458" w:rsidRPr="004E6458">
        <w:rPr>
          <w:rFonts w:asciiTheme="minorHAnsi" w:hAnsiTheme="minorHAnsi"/>
        </w:rPr>
        <w:t>pril</w:t>
      </w:r>
      <w:r w:rsidR="00FD42E7" w:rsidRPr="004E6458">
        <w:rPr>
          <w:rFonts w:asciiTheme="minorHAnsi" w:hAnsiTheme="minorHAnsi"/>
        </w:rPr>
        <w:t xml:space="preserve"> </w:t>
      </w:r>
      <w:r w:rsidR="009C6AD9" w:rsidRPr="004E6458">
        <w:rPr>
          <w:rFonts w:asciiTheme="minorHAnsi" w:hAnsiTheme="minorHAnsi"/>
        </w:rPr>
        <w:t>2021</w:t>
      </w:r>
    </w:p>
    <w:p w14:paraId="14600005" w14:textId="06C3F561" w:rsidR="00DF1B11" w:rsidRDefault="007F249A" w:rsidP="004E6458">
      <w:pPr>
        <w:spacing w:line="480" w:lineRule="auto"/>
        <w:rPr>
          <w:rFonts w:asciiTheme="minorHAnsi" w:hAnsiTheme="minorHAnsi" w:cs="Arial"/>
        </w:rPr>
      </w:pPr>
      <w:r w:rsidRPr="007F249A">
        <w:rPr>
          <w:rFonts w:asciiTheme="minorHAnsi" w:hAnsiTheme="minorHAnsi" w:cs="Arial"/>
        </w:rPr>
        <w:t xml:space="preserve">Project end: </w:t>
      </w:r>
      <w:r w:rsidR="004E6458">
        <w:rPr>
          <w:rFonts w:asciiTheme="minorHAnsi" w:hAnsiTheme="minorHAnsi" w:cs="Arial"/>
        </w:rPr>
        <w:t>June</w:t>
      </w:r>
      <w:r w:rsidR="009C6AD9">
        <w:rPr>
          <w:rFonts w:asciiTheme="minorHAnsi" w:hAnsiTheme="minorHAnsi" w:cs="Arial"/>
        </w:rPr>
        <w:t xml:space="preserve"> 2021</w:t>
      </w:r>
    </w:p>
    <w:p w14:paraId="0D0DD7EC" w14:textId="77777777" w:rsidR="00DF1B11" w:rsidRDefault="00DF1B11" w:rsidP="004E6458">
      <w:pPr>
        <w:spacing w:line="480" w:lineRule="auto"/>
        <w:rPr>
          <w:rFonts w:asciiTheme="minorHAnsi" w:hAnsiTheme="minorHAnsi" w:cs="Arial"/>
          <w:bCs/>
          <w:i/>
        </w:rPr>
      </w:pPr>
    </w:p>
    <w:p w14:paraId="5AA7344C" w14:textId="05FC3D9F" w:rsidR="00AF2504" w:rsidRDefault="00AF2504" w:rsidP="004E6458">
      <w:pPr>
        <w:spacing w:line="480" w:lineRule="auto"/>
        <w:rPr>
          <w:rFonts w:asciiTheme="minorHAnsi" w:hAnsiTheme="minorHAnsi" w:cs="Arial"/>
          <w:bCs/>
          <w:i/>
        </w:rPr>
      </w:pPr>
      <w:r>
        <w:rPr>
          <w:rFonts w:asciiTheme="minorHAnsi" w:hAnsiTheme="minorHAnsi" w:cs="Arial"/>
          <w:bCs/>
          <w:i/>
        </w:rPr>
        <w:t>Proposed authors (Please see authorship policy):</w:t>
      </w:r>
    </w:p>
    <w:p w14:paraId="4A4A7F94" w14:textId="256F9E87" w:rsidR="00590BF3" w:rsidRDefault="00590BF3" w:rsidP="004E6458">
      <w:pPr>
        <w:spacing w:line="480" w:lineRule="auto"/>
        <w:rPr>
          <w:rFonts w:asciiTheme="minorHAnsi" w:hAnsiTheme="minorHAnsi" w:cs="Arial"/>
          <w:bCs/>
          <w:iCs/>
        </w:rPr>
      </w:pPr>
      <w:r>
        <w:rPr>
          <w:rFonts w:asciiTheme="minorHAnsi" w:hAnsiTheme="minorHAnsi" w:cs="Arial"/>
          <w:bCs/>
          <w:iCs/>
        </w:rPr>
        <w:t>We suggest to add 2-3 GoDMC authors as named authors on the paper and to acknowledge GoDMC’s contribution in supporting and encouraging the collaboration in the acknowledgements section of the manuscript.</w:t>
      </w:r>
    </w:p>
    <w:p w14:paraId="462172B7" w14:textId="77777777" w:rsidR="00590BF3" w:rsidRPr="004E6458" w:rsidRDefault="00590BF3" w:rsidP="004E6458">
      <w:pPr>
        <w:spacing w:line="480" w:lineRule="auto"/>
        <w:rPr>
          <w:rFonts w:asciiTheme="minorHAnsi" w:hAnsiTheme="minorHAnsi" w:cs="Arial"/>
          <w:bCs/>
          <w:iCs/>
        </w:rPr>
      </w:pPr>
    </w:p>
    <w:p w14:paraId="41ED8187" w14:textId="14AFF2CD" w:rsidR="00DF1B11" w:rsidRPr="007F249A" w:rsidRDefault="00DF1B11" w:rsidP="004E6458">
      <w:pPr>
        <w:spacing w:line="480" w:lineRule="auto"/>
        <w:rPr>
          <w:rFonts w:asciiTheme="minorHAnsi" w:hAnsiTheme="minorHAnsi"/>
        </w:rPr>
      </w:pPr>
      <w:r>
        <w:rPr>
          <w:rFonts w:asciiTheme="minorHAnsi" w:hAnsiTheme="minorHAnsi" w:cs="Arial"/>
          <w:bCs/>
          <w:i/>
        </w:rPr>
        <w:t>Title and summary for GoDMC website:</w:t>
      </w:r>
    </w:p>
    <w:p w14:paraId="3F0E9864" w14:textId="6162BC03" w:rsidR="004E6458" w:rsidRDefault="00B65D5A" w:rsidP="004E6458">
      <w:pPr>
        <w:spacing w:after="0" w:line="480" w:lineRule="auto"/>
        <w:rPr>
          <w:bCs/>
          <w:lang w:val="en-US"/>
        </w:rPr>
      </w:pPr>
      <w:r>
        <w:t xml:space="preserve">Title: </w:t>
      </w:r>
      <w:r w:rsidR="00E1130B">
        <w:t>M</w:t>
      </w:r>
      <w:r w:rsidR="00590BF3">
        <w:t>endelian randomisation</w:t>
      </w:r>
      <w:r w:rsidR="00E1130B">
        <w:t xml:space="preserve"> analysis to examine causal associations of cord blood</w:t>
      </w:r>
      <w:r w:rsidR="00E1130B" w:rsidRPr="0055224B">
        <w:t xml:space="preserve"> vitamin B12 concentrations </w:t>
      </w:r>
      <w:r w:rsidR="00E1130B">
        <w:t>on</w:t>
      </w:r>
      <w:r w:rsidR="00E1130B" w:rsidRPr="0055224B">
        <w:t xml:space="preserve"> cord blood DNA methylation</w:t>
      </w:r>
      <w:r w:rsidR="00E1130B" w:rsidRPr="00E405ED">
        <w:rPr>
          <w:bCs/>
          <w:lang w:val="en-US"/>
        </w:rPr>
        <w:t xml:space="preserve"> </w:t>
      </w:r>
    </w:p>
    <w:p w14:paraId="4B576895" w14:textId="77777777" w:rsidR="00B65D5A" w:rsidRDefault="00B65D5A" w:rsidP="004E6458">
      <w:pPr>
        <w:pStyle w:val="NormalWeb"/>
        <w:spacing w:line="480" w:lineRule="auto"/>
        <w:rPr>
          <w:rFonts w:ascii="Calibri" w:hAnsi="Calibri"/>
          <w:sz w:val="22"/>
          <w:szCs w:val="22"/>
          <w:lang w:val="en-US"/>
        </w:rPr>
      </w:pPr>
      <w:r>
        <w:rPr>
          <w:rFonts w:ascii="Calibri" w:hAnsi="Calibri"/>
          <w:sz w:val="22"/>
          <w:szCs w:val="22"/>
          <w:lang w:val="en-US"/>
        </w:rPr>
        <w:lastRenderedPageBreak/>
        <w:t>Summary:</w:t>
      </w:r>
    </w:p>
    <w:p w14:paraId="4525E3E7" w14:textId="17023928" w:rsidR="004E6458" w:rsidRPr="004E6458" w:rsidRDefault="004E6458" w:rsidP="004E6458">
      <w:pPr>
        <w:pStyle w:val="NormalWeb"/>
        <w:spacing w:line="480" w:lineRule="auto"/>
      </w:pPr>
      <w:r w:rsidRPr="004E6458">
        <w:rPr>
          <w:rFonts w:ascii="Calibri" w:hAnsi="Calibri"/>
          <w:sz w:val="22"/>
          <w:szCs w:val="22"/>
        </w:rPr>
        <w:t xml:space="preserve">Within the Pregnancy And Childhood Epigenetics (PACE) Consortium we have conducted a meta-analysis of epigenome-wide association studies investigating associations of circulating cord blood vitamin B12 concentrations and cord blood DNA methylation. This meta-analysis resulted in 7 FDR-significant CpGs in relation to cord blood vitamin B12 concentrations. To examine whether these associations reflect a causal effect of cord blood vitamin B12 concentrations on cord blood DNA methylation, we aim to use a two-sample Mendelian randomization (MR) meta-analysis approach. We selected 10 SNPs based on their robust associations at genome-wide significance with circulating vitamin </w:t>
      </w:r>
      <w:r>
        <w:rPr>
          <w:rFonts w:ascii="Calibri" w:hAnsi="Calibri"/>
          <w:sz w:val="22"/>
          <w:szCs w:val="22"/>
        </w:rPr>
        <w:t xml:space="preserve">B12 </w:t>
      </w:r>
      <w:r w:rsidRPr="004E6458">
        <w:rPr>
          <w:rFonts w:ascii="Calibri" w:hAnsi="Calibri"/>
          <w:sz w:val="22"/>
          <w:szCs w:val="22"/>
        </w:rPr>
        <w:t xml:space="preserve">concentrations, as reported by a genome-wide association study (GWAS) among 45,576 individuals from Denmark and Iceland (1). Using multiple independent SNPs </w:t>
      </w:r>
      <w:r>
        <w:rPr>
          <w:rFonts w:ascii="Calibri" w:hAnsi="Calibri"/>
          <w:sz w:val="22"/>
          <w:szCs w:val="22"/>
        </w:rPr>
        <w:t>likely</w:t>
      </w:r>
      <w:r w:rsidRPr="004E6458">
        <w:rPr>
          <w:rFonts w:ascii="Calibri" w:hAnsi="Calibri"/>
          <w:sz w:val="22"/>
          <w:szCs w:val="22"/>
        </w:rPr>
        <w:t xml:space="preserve"> increase</w:t>
      </w:r>
      <w:r>
        <w:rPr>
          <w:rFonts w:ascii="Calibri" w:hAnsi="Calibri"/>
          <w:sz w:val="22"/>
          <w:szCs w:val="22"/>
        </w:rPr>
        <w:t>s</w:t>
      </w:r>
      <w:r w:rsidRPr="004E6458">
        <w:rPr>
          <w:rFonts w:ascii="Calibri" w:hAnsi="Calibri"/>
          <w:sz w:val="22"/>
          <w:szCs w:val="22"/>
        </w:rPr>
        <w:t xml:space="preserve"> power, as they collectively will explain more of the variance in vitamin B12 concentrations (2). We aim to use these SNPs as genetic instruments for vitamin B12 levels and to examine their associations with DNA methylation at the 7 identified CpGs. </w:t>
      </w:r>
    </w:p>
    <w:p w14:paraId="4D714771" w14:textId="3D0A8687" w:rsidR="00D6218F" w:rsidRDefault="00D6218F" w:rsidP="004E6458">
      <w:pPr>
        <w:tabs>
          <w:tab w:val="clear" w:pos="720"/>
        </w:tabs>
        <w:suppressAutoHyphens w:val="0"/>
        <w:spacing w:line="480" w:lineRule="auto"/>
        <w:rPr>
          <w:rFonts w:cstheme="minorHAnsi"/>
          <w:b/>
        </w:rPr>
      </w:pPr>
    </w:p>
    <w:p w14:paraId="6A451914" w14:textId="4B31B81F" w:rsidR="007516A3" w:rsidRPr="0087354A" w:rsidRDefault="007516A3" w:rsidP="004E6458">
      <w:pPr>
        <w:spacing w:after="0" w:line="480" w:lineRule="auto"/>
        <w:rPr>
          <w:rFonts w:cstheme="minorHAnsi"/>
          <w:b/>
        </w:rPr>
      </w:pPr>
      <w:r>
        <w:rPr>
          <w:rFonts w:cstheme="minorHAnsi"/>
          <w:b/>
        </w:rPr>
        <w:t>REFEREN</w:t>
      </w:r>
      <w:r w:rsidRPr="0087354A">
        <w:rPr>
          <w:rFonts w:cstheme="minorHAnsi"/>
          <w:b/>
        </w:rPr>
        <w:t>CES</w:t>
      </w:r>
    </w:p>
    <w:p w14:paraId="6A4A5397" w14:textId="53F76F47" w:rsidR="007516A3" w:rsidRPr="00D6218F" w:rsidRDefault="007516A3" w:rsidP="004E6458">
      <w:pPr>
        <w:pStyle w:val="ListParagraph"/>
        <w:numPr>
          <w:ilvl w:val="0"/>
          <w:numId w:val="3"/>
        </w:numPr>
        <w:tabs>
          <w:tab w:val="clear" w:pos="720"/>
        </w:tabs>
        <w:suppressAutoHyphens w:val="0"/>
        <w:spacing w:after="0" w:line="480" w:lineRule="auto"/>
        <w:contextualSpacing/>
        <w:rPr>
          <w:rFonts w:cstheme="minorHAnsi"/>
        </w:rPr>
      </w:pPr>
      <w:r w:rsidRPr="0087354A">
        <w:rPr>
          <w:rFonts w:cstheme="minorHAnsi"/>
        </w:rPr>
        <w:t>Grarup N, Sulem P, Sandholt CH, Thorleifsson G, Ahluwalia TS, Steinthorsdottir V, et al. Genetic Architecture of Vitamin B12 and Folate Levels Uncovered Applying Deeply Sequenced Large Datasets. PLOS Genetics. 2013;9(6).</w:t>
      </w:r>
    </w:p>
    <w:p w14:paraId="4075C510" w14:textId="77777777" w:rsidR="007516A3" w:rsidRPr="0087354A" w:rsidRDefault="007516A3" w:rsidP="004E6458">
      <w:pPr>
        <w:pStyle w:val="ListParagraph"/>
        <w:numPr>
          <w:ilvl w:val="0"/>
          <w:numId w:val="3"/>
        </w:numPr>
        <w:tabs>
          <w:tab w:val="clear" w:pos="720"/>
        </w:tabs>
        <w:suppressAutoHyphens w:val="0"/>
        <w:spacing w:after="0" w:line="480" w:lineRule="auto"/>
        <w:contextualSpacing/>
        <w:rPr>
          <w:rFonts w:cstheme="minorHAnsi"/>
        </w:rPr>
      </w:pPr>
      <w:r w:rsidRPr="0087354A">
        <w:rPr>
          <w:rFonts w:cstheme="minorHAnsi"/>
        </w:rPr>
        <w:t>Moen G-H, Qvigstad E, Birkeland KI, Evans DM, Sommer C. Are serum concentrations of vitamin B-12 causally related to cardiometabolic risk factors and disease? A Mendelian randomization study. The American Journal of Clinical Nutrition. 2018;108(2):398-404.</w:t>
      </w:r>
    </w:p>
    <w:p w14:paraId="0115BE4C" w14:textId="77777777" w:rsidR="007516A3" w:rsidRDefault="007516A3" w:rsidP="004E6458">
      <w:pPr>
        <w:tabs>
          <w:tab w:val="clear" w:pos="720"/>
        </w:tabs>
        <w:suppressAutoHyphens w:val="0"/>
        <w:spacing w:line="480" w:lineRule="auto"/>
      </w:pPr>
    </w:p>
    <w:p w14:paraId="4F1600AA" w14:textId="77777777" w:rsidR="00B65D5A" w:rsidRDefault="00B65D5A">
      <w:pPr>
        <w:tabs>
          <w:tab w:val="clear" w:pos="720"/>
        </w:tabs>
        <w:suppressAutoHyphens w:val="0"/>
        <w:rPr>
          <w:b/>
        </w:rPr>
      </w:pPr>
      <w:r>
        <w:rPr>
          <w:b/>
        </w:rPr>
        <w:br w:type="page"/>
      </w:r>
    </w:p>
    <w:p w14:paraId="3A322806" w14:textId="57BED59E" w:rsidR="007516A3" w:rsidRPr="00004756" w:rsidRDefault="007516A3" w:rsidP="004E6458">
      <w:pPr>
        <w:tabs>
          <w:tab w:val="clear" w:pos="720"/>
        </w:tabs>
        <w:suppressAutoHyphens w:val="0"/>
        <w:spacing w:line="480" w:lineRule="auto"/>
        <w:rPr>
          <w:rFonts w:cstheme="minorHAnsi"/>
          <w:b/>
        </w:rPr>
      </w:pPr>
      <w:r w:rsidRPr="00004756">
        <w:rPr>
          <w:b/>
        </w:rPr>
        <w:lastRenderedPageBreak/>
        <w:t>Table 1</w:t>
      </w:r>
      <w:r w:rsidRPr="00004756">
        <w:rPr>
          <w:rFonts w:cstheme="minorHAnsi"/>
          <w:b/>
        </w:rPr>
        <w:t>: 7 CpGs that were significantly associated with neonatal vitamin B12 concentrations in cord blood (FDR &lt;0.05 and I</w:t>
      </w:r>
      <w:r w:rsidRPr="00004756">
        <w:rPr>
          <w:rFonts w:cstheme="minorHAnsi"/>
          <w:b/>
          <w:vertAlign w:val="superscript"/>
        </w:rPr>
        <w:t>2</w:t>
      </w:r>
      <w:r w:rsidRPr="00004756">
        <w:rPr>
          <w:rFonts w:cstheme="minorHAnsi"/>
          <w:b/>
        </w:rPr>
        <w:t xml:space="preserve"> &lt;50%).</w:t>
      </w:r>
    </w:p>
    <w:tbl>
      <w:tblPr>
        <w:tblW w:w="2355" w:type="dxa"/>
        <w:tblInd w:w="480" w:type="dxa"/>
        <w:tblBorders>
          <w:bottom w:val="single" w:sz="4" w:space="0" w:color="auto"/>
        </w:tblBorders>
        <w:tblLayout w:type="fixed"/>
        <w:tblLook w:val="04A0" w:firstRow="1" w:lastRow="0" w:firstColumn="1" w:lastColumn="0" w:noHBand="0" w:noVBand="1"/>
      </w:tblPr>
      <w:tblGrid>
        <w:gridCol w:w="2355"/>
      </w:tblGrid>
      <w:tr w:rsidR="007516A3" w:rsidRPr="000B6D28" w14:paraId="0C3910A7" w14:textId="77777777" w:rsidTr="00CE035D">
        <w:trPr>
          <w:trHeight w:val="300"/>
        </w:trPr>
        <w:tc>
          <w:tcPr>
            <w:tcW w:w="2355" w:type="dxa"/>
            <w:tcBorders>
              <w:top w:val="single" w:sz="4" w:space="0" w:color="auto"/>
              <w:bottom w:val="nil"/>
            </w:tcBorders>
            <w:shd w:val="clear" w:color="auto" w:fill="auto"/>
            <w:noWrap/>
            <w:vAlign w:val="center"/>
            <w:hideMark/>
          </w:tcPr>
          <w:p w14:paraId="313653C9" w14:textId="77777777" w:rsidR="007516A3" w:rsidRPr="000B6D28" w:rsidRDefault="007516A3" w:rsidP="00E62E1D">
            <w:pPr>
              <w:spacing w:after="0" w:line="360" w:lineRule="auto"/>
              <w:rPr>
                <w:rFonts w:eastAsia="Times New Roman" w:cstheme="minorHAnsi"/>
                <w:color w:val="000000"/>
                <w:vertAlign w:val="superscript"/>
              </w:rPr>
            </w:pPr>
            <w:r w:rsidRPr="000B6D28">
              <w:rPr>
                <w:rFonts w:eastAsia="Times New Roman" w:cstheme="minorHAnsi"/>
                <w:color w:val="000000"/>
              </w:rPr>
              <w:t xml:space="preserve">cg13863764 </w:t>
            </w:r>
          </w:p>
        </w:tc>
      </w:tr>
      <w:tr w:rsidR="007516A3" w:rsidRPr="000B6D28" w14:paraId="3A8204CE" w14:textId="77777777" w:rsidTr="00CE035D">
        <w:trPr>
          <w:trHeight w:val="300"/>
        </w:trPr>
        <w:tc>
          <w:tcPr>
            <w:tcW w:w="2355" w:type="dxa"/>
            <w:tcBorders>
              <w:top w:val="nil"/>
            </w:tcBorders>
            <w:shd w:val="clear" w:color="auto" w:fill="auto"/>
            <w:noWrap/>
            <w:vAlign w:val="center"/>
            <w:hideMark/>
          </w:tcPr>
          <w:p w14:paraId="044086DA" w14:textId="77777777" w:rsidR="007516A3" w:rsidRPr="000B6D28" w:rsidRDefault="007516A3" w:rsidP="00E62E1D">
            <w:pPr>
              <w:spacing w:after="0" w:line="360" w:lineRule="auto"/>
              <w:rPr>
                <w:rFonts w:eastAsia="Times New Roman" w:cstheme="minorHAnsi"/>
                <w:color w:val="000000"/>
              </w:rPr>
            </w:pPr>
            <w:r w:rsidRPr="000B6D28">
              <w:rPr>
                <w:rFonts w:eastAsia="Times New Roman" w:cstheme="minorHAnsi"/>
                <w:color w:val="000000"/>
              </w:rPr>
              <w:t>cg00658405</w:t>
            </w:r>
          </w:p>
        </w:tc>
      </w:tr>
      <w:tr w:rsidR="007516A3" w:rsidRPr="000B6D28" w14:paraId="5EBE0D66" w14:textId="77777777" w:rsidTr="00CE035D">
        <w:trPr>
          <w:trHeight w:val="300"/>
        </w:trPr>
        <w:tc>
          <w:tcPr>
            <w:tcW w:w="2355" w:type="dxa"/>
            <w:shd w:val="clear" w:color="auto" w:fill="auto"/>
            <w:noWrap/>
            <w:vAlign w:val="center"/>
            <w:hideMark/>
          </w:tcPr>
          <w:p w14:paraId="28FF21BD" w14:textId="77777777" w:rsidR="007516A3" w:rsidRPr="000B6D28" w:rsidRDefault="007516A3" w:rsidP="00E62E1D">
            <w:pPr>
              <w:spacing w:after="0" w:line="360" w:lineRule="auto"/>
              <w:rPr>
                <w:rFonts w:eastAsia="Times New Roman" w:cstheme="minorHAnsi"/>
                <w:color w:val="000000"/>
              </w:rPr>
            </w:pPr>
            <w:r w:rsidRPr="000B6D28">
              <w:rPr>
                <w:rFonts w:eastAsia="Times New Roman" w:cstheme="minorHAnsi"/>
                <w:color w:val="000000"/>
              </w:rPr>
              <w:t>cg08243619</w:t>
            </w:r>
          </w:p>
        </w:tc>
      </w:tr>
      <w:tr w:rsidR="007516A3" w:rsidRPr="000B6D28" w14:paraId="0B218561" w14:textId="77777777" w:rsidTr="00CE035D">
        <w:trPr>
          <w:trHeight w:val="300"/>
        </w:trPr>
        <w:tc>
          <w:tcPr>
            <w:tcW w:w="2355" w:type="dxa"/>
            <w:shd w:val="clear" w:color="auto" w:fill="auto"/>
            <w:noWrap/>
            <w:vAlign w:val="center"/>
            <w:hideMark/>
          </w:tcPr>
          <w:p w14:paraId="3C14F5AB" w14:textId="77777777" w:rsidR="007516A3" w:rsidRPr="000B6D28" w:rsidRDefault="007516A3" w:rsidP="00E62E1D">
            <w:pPr>
              <w:spacing w:after="0" w:line="360" w:lineRule="auto"/>
              <w:rPr>
                <w:rFonts w:eastAsia="Times New Roman" w:cstheme="minorHAnsi"/>
                <w:color w:val="000000"/>
                <w:vertAlign w:val="superscript"/>
              </w:rPr>
            </w:pPr>
            <w:r w:rsidRPr="000B6D28">
              <w:rPr>
                <w:rFonts w:eastAsia="Times New Roman" w:cstheme="minorHAnsi"/>
                <w:color w:val="000000"/>
              </w:rPr>
              <w:t xml:space="preserve">cg24371425 </w:t>
            </w:r>
          </w:p>
        </w:tc>
      </w:tr>
      <w:tr w:rsidR="007516A3" w:rsidRPr="000B6D28" w14:paraId="36AB34D3" w14:textId="77777777" w:rsidTr="00CE035D">
        <w:trPr>
          <w:trHeight w:val="300"/>
        </w:trPr>
        <w:tc>
          <w:tcPr>
            <w:tcW w:w="2355" w:type="dxa"/>
            <w:shd w:val="clear" w:color="auto" w:fill="auto"/>
            <w:noWrap/>
            <w:vAlign w:val="center"/>
            <w:hideMark/>
          </w:tcPr>
          <w:p w14:paraId="20068F11" w14:textId="77777777" w:rsidR="007516A3" w:rsidRPr="000B6D28" w:rsidRDefault="007516A3" w:rsidP="00E62E1D">
            <w:pPr>
              <w:spacing w:after="0" w:line="360" w:lineRule="auto"/>
              <w:rPr>
                <w:rFonts w:eastAsia="Times New Roman" w:cstheme="minorHAnsi"/>
                <w:color w:val="000000"/>
              </w:rPr>
            </w:pPr>
            <w:r w:rsidRPr="000B6D28">
              <w:rPr>
                <w:rFonts w:eastAsia="Times New Roman" w:cstheme="minorHAnsi"/>
                <w:color w:val="000000"/>
              </w:rPr>
              <w:t>cg02615136</w:t>
            </w:r>
          </w:p>
        </w:tc>
      </w:tr>
      <w:tr w:rsidR="007516A3" w:rsidRPr="000B6D28" w14:paraId="32379BD3" w14:textId="77777777" w:rsidTr="00CE035D">
        <w:trPr>
          <w:trHeight w:val="300"/>
        </w:trPr>
        <w:tc>
          <w:tcPr>
            <w:tcW w:w="2355" w:type="dxa"/>
            <w:shd w:val="clear" w:color="auto" w:fill="auto"/>
            <w:noWrap/>
            <w:vAlign w:val="center"/>
            <w:hideMark/>
          </w:tcPr>
          <w:p w14:paraId="61165E96" w14:textId="77777777" w:rsidR="007516A3" w:rsidRPr="000B6D28" w:rsidRDefault="007516A3" w:rsidP="00E62E1D">
            <w:pPr>
              <w:spacing w:after="0" w:line="360" w:lineRule="auto"/>
              <w:rPr>
                <w:rFonts w:eastAsia="Times New Roman" w:cstheme="minorHAnsi"/>
                <w:color w:val="000000"/>
              </w:rPr>
            </w:pPr>
            <w:r w:rsidRPr="000B6D28">
              <w:rPr>
                <w:rFonts w:eastAsia="Times New Roman" w:cstheme="minorHAnsi"/>
                <w:color w:val="000000"/>
              </w:rPr>
              <w:t>cg04096723</w:t>
            </w:r>
          </w:p>
        </w:tc>
      </w:tr>
      <w:tr w:rsidR="007516A3" w:rsidRPr="000B6D28" w14:paraId="34123FBD" w14:textId="77777777" w:rsidTr="00CE035D">
        <w:trPr>
          <w:trHeight w:val="300"/>
        </w:trPr>
        <w:tc>
          <w:tcPr>
            <w:tcW w:w="2355" w:type="dxa"/>
            <w:shd w:val="clear" w:color="auto" w:fill="auto"/>
            <w:noWrap/>
            <w:vAlign w:val="center"/>
            <w:hideMark/>
          </w:tcPr>
          <w:p w14:paraId="1A61C6BF" w14:textId="77777777" w:rsidR="007516A3" w:rsidRPr="000B6D28" w:rsidRDefault="007516A3" w:rsidP="00E62E1D">
            <w:pPr>
              <w:spacing w:after="0" w:line="360" w:lineRule="auto"/>
              <w:rPr>
                <w:rFonts w:eastAsia="Times New Roman" w:cstheme="minorHAnsi"/>
                <w:color w:val="000000"/>
                <w:vertAlign w:val="superscript"/>
              </w:rPr>
            </w:pPr>
            <w:r w:rsidRPr="000B6D28">
              <w:rPr>
                <w:rFonts w:eastAsia="Times New Roman" w:cstheme="minorHAnsi"/>
                <w:color w:val="000000"/>
              </w:rPr>
              <w:t xml:space="preserve">cg09573658 </w:t>
            </w:r>
          </w:p>
        </w:tc>
      </w:tr>
    </w:tbl>
    <w:p w14:paraId="3B2411E6" w14:textId="77777777" w:rsidR="007516A3" w:rsidRDefault="007516A3" w:rsidP="004E6458">
      <w:pPr>
        <w:tabs>
          <w:tab w:val="clear" w:pos="720"/>
        </w:tabs>
        <w:suppressAutoHyphens w:val="0"/>
        <w:spacing w:line="480" w:lineRule="auto"/>
      </w:pPr>
    </w:p>
    <w:p w14:paraId="71CF6F08" w14:textId="37A6C437" w:rsidR="007516A3" w:rsidRPr="00004756" w:rsidRDefault="007516A3" w:rsidP="004E6458">
      <w:pPr>
        <w:keepNext/>
        <w:tabs>
          <w:tab w:val="clear" w:pos="720"/>
        </w:tabs>
        <w:suppressAutoHyphens w:val="0"/>
        <w:spacing w:line="480" w:lineRule="auto"/>
        <w:rPr>
          <w:rFonts w:eastAsia="Calibri" w:cs="Calibri"/>
          <w:b/>
          <w:bCs/>
          <w:lang w:val="en-US"/>
        </w:rPr>
      </w:pPr>
      <w:r w:rsidRPr="00004756">
        <w:rPr>
          <w:rFonts w:eastAsia="Calibri" w:cs="Calibri"/>
          <w:b/>
          <w:bCs/>
          <w:lang w:val="en-US"/>
        </w:rPr>
        <w:t xml:space="preserve">Table </w:t>
      </w:r>
      <w:r>
        <w:rPr>
          <w:rFonts w:eastAsia="Calibri" w:cs="Calibri"/>
          <w:b/>
          <w:bCs/>
          <w:lang w:val="en-US"/>
        </w:rPr>
        <w:t>2</w:t>
      </w:r>
      <w:r w:rsidRPr="00004756">
        <w:rPr>
          <w:rFonts w:eastAsia="Calibri" w:cs="Calibri"/>
          <w:b/>
          <w:bCs/>
          <w:lang w:val="en-US"/>
        </w:rPr>
        <w:t>: 1</w:t>
      </w:r>
      <w:r w:rsidR="00347E92">
        <w:rPr>
          <w:rFonts w:eastAsia="Calibri" w:cs="Calibri"/>
          <w:b/>
          <w:bCs/>
          <w:lang w:val="en-US"/>
        </w:rPr>
        <w:t>0</w:t>
      </w:r>
      <w:r w:rsidRPr="00004756">
        <w:rPr>
          <w:rFonts w:eastAsia="Calibri" w:cs="Calibri"/>
          <w:b/>
          <w:bCs/>
          <w:lang w:val="en-US"/>
        </w:rPr>
        <w:t xml:space="preserve"> SNPs that have been associated with vitamin B12 concentrations</w:t>
      </w:r>
      <w:r w:rsidR="00347E92">
        <w:rPr>
          <w:rFonts w:eastAsia="Calibri" w:cs="Calibri"/>
          <w:b/>
          <w:bCs/>
          <w:vertAlign w:val="superscript"/>
          <w:lang w:val="en-US"/>
        </w:rPr>
        <w:t>1</w:t>
      </w:r>
      <w:r w:rsidRPr="00004756">
        <w:rPr>
          <w:rFonts w:eastAsia="Calibri" w:cs="Calibri"/>
          <w:b/>
          <w:bCs/>
          <w:lang w:val="en-US"/>
        </w:rPr>
        <w:t>.</w:t>
      </w:r>
    </w:p>
    <w:tbl>
      <w:tblPr>
        <w:tblStyle w:val="TableGrid1"/>
        <w:tblW w:w="10799" w:type="dxa"/>
        <w:tblInd w:w="-7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1701"/>
        <w:gridCol w:w="1985"/>
        <w:gridCol w:w="4141"/>
      </w:tblGrid>
      <w:tr w:rsidR="004B3B4F" w:rsidRPr="00004756" w14:paraId="1D2F1567" w14:textId="78708399" w:rsidTr="00A46B9D">
        <w:tc>
          <w:tcPr>
            <w:tcW w:w="2972" w:type="dxa"/>
            <w:tcBorders>
              <w:top w:val="single" w:sz="4" w:space="0" w:color="auto"/>
              <w:bottom w:val="single" w:sz="4" w:space="0" w:color="auto"/>
            </w:tcBorders>
          </w:tcPr>
          <w:p w14:paraId="3DE374E0" w14:textId="2895678D" w:rsidR="004B3B4F" w:rsidRPr="00004756" w:rsidRDefault="004B3B4F" w:rsidP="004E6458">
            <w:pPr>
              <w:keepNext/>
              <w:tabs>
                <w:tab w:val="clear" w:pos="720"/>
              </w:tabs>
              <w:suppressAutoHyphens w:val="0"/>
              <w:spacing w:line="480" w:lineRule="auto"/>
              <w:rPr>
                <w:rFonts w:eastAsia="Calibri" w:cs="Calibri"/>
              </w:rPr>
            </w:pPr>
            <w:r>
              <w:rPr>
                <w:rFonts w:eastAsia="Calibri" w:cs="Calibri"/>
              </w:rPr>
              <w:t>SNP</w:t>
            </w:r>
          </w:p>
        </w:tc>
        <w:tc>
          <w:tcPr>
            <w:tcW w:w="1701" w:type="dxa"/>
            <w:tcBorders>
              <w:top w:val="single" w:sz="4" w:space="0" w:color="auto"/>
              <w:bottom w:val="single" w:sz="4" w:space="0" w:color="auto"/>
            </w:tcBorders>
          </w:tcPr>
          <w:p w14:paraId="5A078FAA" w14:textId="6C4B76B8" w:rsidR="004B3B4F" w:rsidRPr="00004756" w:rsidRDefault="004B3B4F" w:rsidP="004E6458">
            <w:pPr>
              <w:keepNext/>
              <w:tabs>
                <w:tab w:val="clear" w:pos="720"/>
              </w:tabs>
              <w:suppressAutoHyphens w:val="0"/>
              <w:spacing w:line="480" w:lineRule="auto"/>
              <w:rPr>
                <w:rFonts w:eastAsia="Calibri" w:cs="Calibri"/>
                <w:vertAlign w:val="superscript"/>
              </w:rPr>
            </w:pPr>
            <w:r w:rsidRPr="00004756">
              <w:rPr>
                <w:rFonts w:eastAsia="Calibri" w:cs="Calibri"/>
              </w:rPr>
              <w:t>Effect allele</w:t>
            </w:r>
            <w:r w:rsidR="00347E92">
              <w:rPr>
                <w:rFonts w:eastAsia="Calibri" w:cs="Calibri"/>
                <w:vertAlign w:val="superscript"/>
              </w:rPr>
              <w:t>2</w:t>
            </w:r>
          </w:p>
        </w:tc>
        <w:tc>
          <w:tcPr>
            <w:tcW w:w="1985" w:type="dxa"/>
            <w:tcBorders>
              <w:top w:val="single" w:sz="4" w:space="0" w:color="auto"/>
              <w:bottom w:val="single" w:sz="4" w:space="0" w:color="auto"/>
            </w:tcBorders>
          </w:tcPr>
          <w:p w14:paraId="6F1F41E0" w14:textId="77777777" w:rsidR="004B3B4F" w:rsidRPr="00004756" w:rsidRDefault="004B3B4F" w:rsidP="004E6458">
            <w:pPr>
              <w:keepNext/>
              <w:tabs>
                <w:tab w:val="clear" w:pos="720"/>
              </w:tabs>
              <w:suppressAutoHyphens w:val="0"/>
              <w:spacing w:line="480" w:lineRule="auto"/>
              <w:rPr>
                <w:rFonts w:eastAsia="Calibri" w:cs="Calibri"/>
              </w:rPr>
            </w:pPr>
            <w:r w:rsidRPr="00004756">
              <w:rPr>
                <w:rFonts w:eastAsia="Calibri" w:cs="Calibri"/>
              </w:rPr>
              <w:t>Other allele</w:t>
            </w:r>
          </w:p>
        </w:tc>
        <w:tc>
          <w:tcPr>
            <w:tcW w:w="4141" w:type="dxa"/>
            <w:tcBorders>
              <w:top w:val="single" w:sz="4" w:space="0" w:color="auto"/>
              <w:bottom w:val="single" w:sz="4" w:space="0" w:color="auto"/>
            </w:tcBorders>
          </w:tcPr>
          <w:p w14:paraId="0F758AEF" w14:textId="4CF6288A" w:rsidR="004B3B4F" w:rsidRPr="004B3B4F" w:rsidRDefault="004B3B4F" w:rsidP="004E6458">
            <w:pPr>
              <w:keepNext/>
              <w:tabs>
                <w:tab w:val="clear" w:pos="720"/>
              </w:tabs>
              <w:suppressAutoHyphens w:val="0"/>
              <w:spacing w:line="480" w:lineRule="auto"/>
              <w:rPr>
                <w:rFonts w:eastAsia="Calibri" w:cs="Calibri"/>
                <w:vertAlign w:val="superscript"/>
              </w:rPr>
            </w:pPr>
            <w:r>
              <w:rPr>
                <w:rFonts w:eastAsia="Calibri" w:cs="Calibri"/>
              </w:rPr>
              <w:t>Potential proxies</w:t>
            </w:r>
            <w:r w:rsidR="00B65D5A">
              <w:rPr>
                <w:rFonts w:eastAsia="Calibri" w:cs="Calibri"/>
                <w:vertAlign w:val="superscript"/>
              </w:rPr>
              <w:t>3</w:t>
            </w:r>
            <w:r>
              <w:rPr>
                <w:rFonts w:eastAsia="Calibri" w:cs="Calibri"/>
              </w:rPr>
              <w:t xml:space="preserve"> (R</w:t>
            </w:r>
            <w:r>
              <w:rPr>
                <w:rFonts w:eastAsia="Calibri" w:cs="Calibri"/>
                <w:vertAlign w:val="superscript"/>
              </w:rPr>
              <w:t xml:space="preserve">2 </w:t>
            </w:r>
            <w:r w:rsidRPr="004B3B4F">
              <w:rPr>
                <w:rFonts w:eastAsia="Calibri" w:cs="Calibri"/>
              </w:rPr>
              <w:t>&gt;0.8)</w:t>
            </w:r>
          </w:p>
        </w:tc>
      </w:tr>
      <w:tr w:rsidR="004B3B4F" w:rsidRPr="00004756" w14:paraId="3C4885D2" w14:textId="2B5F9A2A" w:rsidTr="00A46B9D">
        <w:tc>
          <w:tcPr>
            <w:tcW w:w="2972" w:type="dxa"/>
            <w:tcBorders>
              <w:top w:val="single" w:sz="4" w:space="0" w:color="auto"/>
            </w:tcBorders>
          </w:tcPr>
          <w:p w14:paraId="3254E0F8" w14:textId="77777777" w:rsidR="004B3B4F" w:rsidRPr="00004756" w:rsidRDefault="004B3B4F" w:rsidP="00E62E1D">
            <w:pPr>
              <w:keepNext/>
              <w:tabs>
                <w:tab w:val="clear" w:pos="720"/>
              </w:tabs>
              <w:suppressAutoHyphens w:val="0"/>
              <w:spacing w:line="360" w:lineRule="auto"/>
              <w:rPr>
                <w:rFonts w:eastAsia="Calibri" w:cs="Calibri"/>
              </w:rPr>
            </w:pPr>
            <w:r w:rsidRPr="00004756">
              <w:rPr>
                <w:rFonts w:eastAsia="Calibri" w:cs="Calibri"/>
              </w:rPr>
              <w:t>rs2336573 (</w:t>
            </w:r>
            <w:r w:rsidRPr="00004756">
              <w:rPr>
                <w:rFonts w:eastAsia="Calibri" w:cs="Calibri"/>
                <w:i/>
              </w:rPr>
              <w:t>CD320</w:t>
            </w:r>
            <w:r w:rsidRPr="00004756">
              <w:rPr>
                <w:rFonts w:eastAsia="Calibri" w:cs="Calibri"/>
              </w:rPr>
              <w:t>)</w:t>
            </w:r>
          </w:p>
        </w:tc>
        <w:tc>
          <w:tcPr>
            <w:tcW w:w="1701" w:type="dxa"/>
            <w:tcBorders>
              <w:top w:val="single" w:sz="4" w:space="0" w:color="auto"/>
            </w:tcBorders>
          </w:tcPr>
          <w:p w14:paraId="7D4747AE" w14:textId="77777777" w:rsidR="004B3B4F" w:rsidRPr="00004756" w:rsidRDefault="004B3B4F" w:rsidP="00E62E1D">
            <w:pPr>
              <w:keepNext/>
              <w:tabs>
                <w:tab w:val="clear" w:pos="720"/>
              </w:tabs>
              <w:suppressAutoHyphens w:val="0"/>
              <w:spacing w:line="360" w:lineRule="auto"/>
              <w:rPr>
                <w:rFonts w:eastAsia="Calibri" w:cs="Calibri"/>
              </w:rPr>
            </w:pPr>
            <w:r w:rsidRPr="00004756">
              <w:rPr>
                <w:rFonts w:eastAsia="Calibri" w:cs="Calibri"/>
              </w:rPr>
              <w:t>T</w:t>
            </w:r>
          </w:p>
        </w:tc>
        <w:tc>
          <w:tcPr>
            <w:tcW w:w="1985" w:type="dxa"/>
            <w:tcBorders>
              <w:top w:val="single" w:sz="4" w:space="0" w:color="auto"/>
            </w:tcBorders>
          </w:tcPr>
          <w:p w14:paraId="3295EA41" w14:textId="77777777" w:rsidR="004B3B4F" w:rsidRPr="00004756" w:rsidRDefault="004B3B4F" w:rsidP="00E62E1D">
            <w:pPr>
              <w:keepNext/>
              <w:tabs>
                <w:tab w:val="clear" w:pos="720"/>
              </w:tabs>
              <w:suppressAutoHyphens w:val="0"/>
              <w:spacing w:line="360" w:lineRule="auto"/>
              <w:rPr>
                <w:rFonts w:eastAsia="Calibri" w:cs="Calibri"/>
              </w:rPr>
            </w:pPr>
            <w:r w:rsidRPr="00004756">
              <w:rPr>
                <w:rFonts w:eastAsia="Calibri" w:cs="Calibri"/>
              </w:rPr>
              <w:t>C</w:t>
            </w:r>
          </w:p>
        </w:tc>
        <w:tc>
          <w:tcPr>
            <w:tcW w:w="4141" w:type="dxa"/>
            <w:tcBorders>
              <w:top w:val="single" w:sz="4" w:space="0" w:color="auto"/>
            </w:tcBorders>
          </w:tcPr>
          <w:p w14:paraId="0DA9FE99" w14:textId="7F464AC4" w:rsidR="004B3B4F" w:rsidRPr="00004756" w:rsidRDefault="00A46B9D" w:rsidP="00E62E1D">
            <w:pPr>
              <w:keepNext/>
              <w:tabs>
                <w:tab w:val="clear" w:pos="720"/>
              </w:tabs>
              <w:suppressAutoHyphens w:val="0"/>
              <w:spacing w:line="360" w:lineRule="auto"/>
              <w:rPr>
                <w:rFonts w:eastAsia="Calibri" w:cs="Calibri"/>
              </w:rPr>
            </w:pPr>
            <w:r>
              <w:rPr>
                <w:rFonts w:eastAsia="Calibri" w:cs="Calibri"/>
              </w:rPr>
              <w:t>N=59 (Table S1)</w:t>
            </w:r>
          </w:p>
        </w:tc>
      </w:tr>
      <w:tr w:rsidR="00A46B9D" w:rsidRPr="00004756" w14:paraId="0D3AD7BA" w14:textId="4D98F60B" w:rsidTr="00A46B9D">
        <w:tc>
          <w:tcPr>
            <w:tcW w:w="2972" w:type="dxa"/>
          </w:tcPr>
          <w:p w14:paraId="4542AAB2" w14:textId="77777777" w:rsidR="00A46B9D" w:rsidRPr="00004756" w:rsidRDefault="00A46B9D" w:rsidP="00E62E1D">
            <w:pPr>
              <w:keepNext/>
              <w:tabs>
                <w:tab w:val="clear" w:pos="720"/>
              </w:tabs>
              <w:suppressAutoHyphens w:val="0"/>
              <w:spacing w:line="360" w:lineRule="auto"/>
              <w:rPr>
                <w:rFonts w:eastAsia="Calibri" w:cs="Calibri"/>
              </w:rPr>
            </w:pPr>
            <w:r w:rsidRPr="00004756">
              <w:rPr>
                <w:rFonts w:eastAsia="Calibri" w:cs="Calibri"/>
              </w:rPr>
              <w:t>rs1131603 (</w:t>
            </w:r>
            <w:r w:rsidRPr="00004756">
              <w:rPr>
                <w:rFonts w:eastAsia="Calibri" w:cs="Calibri"/>
                <w:i/>
              </w:rPr>
              <w:t>TCN2</w:t>
            </w:r>
            <w:r w:rsidRPr="00004756">
              <w:rPr>
                <w:rFonts w:eastAsia="Calibri" w:cs="Calibri"/>
              </w:rPr>
              <w:t>)</w:t>
            </w:r>
          </w:p>
        </w:tc>
        <w:tc>
          <w:tcPr>
            <w:tcW w:w="1701" w:type="dxa"/>
          </w:tcPr>
          <w:p w14:paraId="299B4D9A" w14:textId="77777777" w:rsidR="00A46B9D" w:rsidRPr="00004756" w:rsidRDefault="00A46B9D" w:rsidP="00E62E1D">
            <w:pPr>
              <w:keepNext/>
              <w:tabs>
                <w:tab w:val="clear" w:pos="720"/>
              </w:tabs>
              <w:suppressAutoHyphens w:val="0"/>
              <w:spacing w:line="360" w:lineRule="auto"/>
              <w:rPr>
                <w:rFonts w:eastAsia="Calibri" w:cs="Calibri"/>
              </w:rPr>
            </w:pPr>
            <w:r w:rsidRPr="00004756">
              <w:rPr>
                <w:rFonts w:eastAsia="Calibri" w:cs="Calibri"/>
              </w:rPr>
              <w:t>C</w:t>
            </w:r>
          </w:p>
        </w:tc>
        <w:tc>
          <w:tcPr>
            <w:tcW w:w="1985" w:type="dxa"/>
          </w:tcPr>
          <w:p w14:paraId="45FCC5BE" w14:textId="77777777" w:rsidR="00A46B9D" w:rsidRPr="00004756" w:rsidRDefault="00A46B9D" w:rsidP="00E62E1D">
            <w:pPr>
              <w:keepNext/>
              <w:tabs>
                <w:tab w:val="clear" w:pos="720"/>
              </w:tabs>
              <w:suppressAutoHyphens w:val="0"/>
              <w:spacing w:line="360" w:lineRule="auto"/>
              <w:rPr>
                <w:rFonts w:eastAsia="Calibri" w:cs="Calibri"/>
              </w:rPr>
            </w:pPr>
            <w:r w:rsidRPr="00004756">
              <w:rPr>
                <w:rFonts w:eastAsia="Calibri" w:cs="Calibri"/>
              </w:rPr>
              <w:t>T</w:t>
            </w:r>
          </w:p>
        </w:tc>
        <w:tc>
          <w:tcPr>
            <w:tcW w:w="4141" w:type="dxa"/>
          </w:tcPr>
          <w:p w14:paraId="0023E243" w14:textId="349A5205" w:rsidR="00A46B9D" w:rsidRPr="00004756" w:rsidRDefault="00A46B9D" w:rsidP="00E62E1D">
            <w:pPr>
              <w:keepNext/>
              <w:tabs>
                <w:tab w:val="clear" w:pos="720"/>
              </w:tabs>
              <w:suppressAutoHyphens w:val="0"/>
              <w:spacing w:line="360" w:lineRule="auto"/>
              <w:rPr>
                <w:rFonts w:eastAsia="Calibri" w:cs="Calibri"/>
              </w:rPr>
            </w:pPr>
            <w:r>
              <w:rPr>
                <w:rFonts w:eastAsia="Calibri" w:cs="Calibri"/>
              </w:rPr>
              <w:t>N=1 (Table S1)</w:t>
            </w:r>
          </w:p>
        </w:tc>
      </w:tr>
      <w:tr w:rsidR="00A46B9D" w:rsidRPr="00004756" w14:paraId="0F6DF759" w14:textId="7BABC4C8" w:rsidTr="00A46B9D">
        <w:tc>
          <w:tcPr>
            <w:tcW w:w="2972" w:type="dxa"/>
          </w:tcPr>
          <w:p w14:paraId="2572BBE9" w14:textId="77777777" w:rsidR="00A46B9D" w:rsidRPr="00004756" w:rsidRDefault="00A46B9D" w:rsidP="00E62E1D">
            <w:pPr>
              <w:keepNext/>
              <w:tabs>
                <w:tab w:val="clear" w:pos="720"/>
              </w:tabs>
              <w:suppressAutoHyphens w:val="0"/>
              <w:spacing w:line="360" w:lineRule="auto"/>
              <w:rPr>
                <w:rFonts w:eastAsia="Calibri" w:cs="Calibri"/>
              </w:rPr>
            </w:pPr>
            <w:r w:rsidRPr="00004756">
              <w:rPr>
                <w:rFonts w:eastAsia="Calibri" w:cs="Calibri"/>
              </w:rPr>
              <w:t>rs3742801 (</w:t>
            </w:r>
            <w:r w:rsidRPr="00004756">
              <w:rPr>
                <w:rFonts w:eastAsia="Calibri" w:cs="Calibri"/>
                <w:i/>
              </w:rPr>
              <w:t>ABCD4</w:t>
            </w:r>
            <w:r w:rsidRPr="00004756">
              <w:rPr>
                <w:rFonts w:eastAsia="Calibri" w:cs="Calibri"/>
              </w:rPr>
              <w:t>)</w:t>
            </w:r>
          </w:p>
        </w:tc>
        <w:tc>
          <w:tcPr>
            <w:tcW w:w="1701" w:type="dxa"/>
          </w:tcPr>
          <w:p w14:paraId="3D9F9C1B" w14:textId="77777777" w:rsidR="00A46B9D" w:rsidRPr="00004756" w:rsidRDefault="00A46B9D" w:rsidP="00E62E1D">
            <w:pPr>
              <w:keepNext/>
              <w:tabs>
                <w:tab w:val="clear" w:pos="720"/>
              </w:tabs>
              <w:suppressAutoHyphens w:val="0"/>
              <w:spacing w:line="360" w:lineRule="auto"/>
              <w:rPr>
                <w:rFonts w:eastAsia="Calibri" w:cs="Calibri"/>
              </w:rPr>
            </w:pPr>
            <w:r w:rsidRPr="00004756">
              <w:rPr>
                <w:rFonts w:eastAsia="Calibri" w:cs="Calibri"/>
              </w:rPr>
              <w:t>T</w:t>
            </w:r>
          </w:p>
        </w:tc>
        <w:tc>
          <w:tcPr>
            <w:tcW w:w="1985" w:type="dxa"/>
          </w:tcPr>
          <w:p w14:paraId="2F349612" w14:textId="77777777" w:rsidR="00A46B9D" w:rsidRPr="00004756" w:rsidRDefault="00A46B9D" w:rsidP="00E62E1D">
            <w:pPr>
              <w:keepNext/>
              <w:tabs>
                <w:tab w:val="clear" w:pos="720"/>
              </w:tabs>
              <w:suppressAutoHyphens w:val="0"/>
              <w:spacing w:line="360" w:lineRule="auto"/>
              <w:rPr>
                <w:rFonts w:eastAsia="Calibri" w:cs="Calibri"/>
              </w:rPr>
            </w:pPr>
            <w:r w:rsidRPr="00004756">
              <w:rPr>
                <w:rFonts w:eastAsia="Calibri" w:cs="Calibri"/>
              </w:rPr>
              <w:t>C</w:t>
            </w:r>
          </w:p>
        </w:tc>
        <w:tc>
          <w:tcPr>
            <w:tcW w:w="4141" w:type="dxa"/>
          </w:tcPr>
          <w:p w14:paraId="07A91F74" w14:textId="0CA7487B" w:rsidR="00A46B9D" w:rsidRPr="00004756" w:rsidRDefault="00A46B9D" w:rsidP="00E62E1D">
            <w:pPr>
              <w:keepNext/>
              <w:tabs>
                <w:tab w:val="clear" w:pos="720"/>
              </w:tabs>
              <w:suppressAutoHyphens w:val="0"/>
              <w:spacing w:line="360" w:lineRule="auto"/>
              <w:rPr>
                <w:rFonts w:eastAsia="Calibri" w:cs="Calibri"/>
              </w:rPr>
            </w:pPr>
            <w:r>
              <w:rPr>
                <w:rFonts w:eastAsia="Calibri" w:cs="Calibri"/>
              </w:rPr>
              <w:t>N=39 (Table S1)</w:t>
            </w:r>
          </w:p>
        </w:tc>
      </w:tr>
      <w:tr w:rsidR="00A46B9D" w:rsidRPr="00004756" w14:paraId="00621F2B" w14:textId="7E284B20" w:rsidTr="00A46B9D">
        <w:tc>
          <w:tcPr>
            <w:tcW w:w="2972" w:type="dxa"/>
          </w:tcPr>
          <w:p w14:paraId="08B6DDC3" w14:textId="77777777" w:rsidR="00A46B9D" w:rsidRPr="00004756" w:rsidRDefault="00A46B9D" w:rsidP="00E62E1D">
            <w:pPr>
              <w:keepNext/>
              <w:tabs>
                <w:tab w:val="clear" w:pos="720"/>
              </w:tabs>
              <w:suppressAutoHyphens w:val="0"/>
              <w:spacing w:line="360" w:lineRule="auto"/>
              <w:rPr>
                <w:rFonts w:eastAsia="Calibri" w:cs="Calibri"/>
              </w:rPr>
            </w:pPr>
            <w:r w:rsidRPr="00004756">
              <w:rPr>
                <w:rFonts w:eastAsia="Calibri" w:cs="Calibri"/>
              </w:rPr>
              <w:t>rs2270655 (</w:t>
            </w:r>
            <w:r w:rsidRPr="00004756">
              <w:rPr>
                <w:rFonts w:eastAsia="Calibri" w:cs="Calibri"/>
                <w:i/>
              </w:rPr>
              <w:t>MMAA</w:t>
            </w:r>
            <w:r w:rsidRPr="00004756">
              <w:rPr>
                <w:rFonts w:eastAsia="Calibri" w:cs="Calibri"/>
              </w:rPr>
              <w:t>)</w:t>
            </w:r>
          </w:p>
        </w:tc>
        <w:tc>
          <w:tcPr>
            <w:tcW w:w="1701" w:type="dxa"/>
          </w:tcPr>
          <w:p w14:paraId="6A663FCE" w14:textId="77777777" w:rsidR="00A46B9D" w:rsidRPr="00004756" w:rsidRDefault="00A46B9D" w:rsidP="00E62E1D">
            <w:pPr>
              <w:keepNext/>
              <w:tabs>
                <w:tab w:val="clear" w:pos="720"/>
              </w:tabs>
              <w:suppressAutoHyphens w:val="0"/>
              <w:spacing w:line="360" w:lineRule="auto"/>
              <w:rPr>
                <w:rFonts w:eastAsia="Calibri" w:cs="Calibri"/>
              </w:rPr>
            </w:pPr>
            <w:r w:rsidRPr="00004756">
              <w:rPr>
                <w:rFonts w:eastAsia="Calibri" w:cs="Calibri"/>
              </w:rPr>
              <w:t>G</w:t>
            </w:r>
          </w:p>
        </w:tc>
        <w:tc>
          <w:tcPr>
            <w:tcW w:w="1985" w:type="dxa"/>
          </w:tcPr>
          <w:p w14:paraId="6FAAA3FD" w14:textId="77777777" w:rsidR="00A46B9D" w:rsidRPr="00004756" w:rsidRDefault="00A46B9D" w:rsidP="00E62E1D">
            <w:pPr>
              <w:keepNext/>
              <w:tabs>
                <w:tab w:val="clear" w:pos="720"/>
              </w:tabs>
              <w:suppressAutoHyphens w:val="0"/>
              <w:spacing w:line="360" w:lineRule="auto"/>
              <w:rPr>
                <w:rFonts w:eastAsia="Calibri" w:cs="Calibri"/>
              </w:rPr>
            </w:pPr>
            <w:r w:rsidRPr="00004756">
              <w:rPr>
                <w:rFonts w:eastAsia="Calibri" w:cs="Calibri"/>
              </w:rPr>
              <w:t>C</w:t>
            </w:r>
          </w:p>
        </w:tc>
        <w:tc>
          <w:tcPr>
            <w:tcW w:w="4141" w:type="dxa"/>
          </w:tcPr>
          <w:p w14:paraId="6AD70E59" w14:textId="080BC1F8" w:rsidR="00A46B9D" w:rsidRPr="00004756" w:rsidRDefault="00A46B9D" w:rsidP="00E62E1D">
            <w:pPr>
              <w:keepNext/>
              <w:tabs>
                <w:tab w:val="clear" w:pos="720"/>
              </w:tabs>
              <w:suppressAutoHyphens w:val="0"/>
              <w:spacing w:line="360" w:lineRule="auto"/>
              <w:rPr>
                <w:rFonts w:eastAsia="Calibri" w:cs="Calibri"/>
              </w:rPr>
            </w:pPr>
            <w:r>
              <w:rPr>
                <w:rFonts w:eastAsia="Calibri" w:cs="Calibri"/>
              </w:rPr>
              <w:t>N=48 (Table S1)</w:t>
            </w:r>
          </w:p>
        </w:tc>
      </w:tr>
      <w:tr w:rsidR="00A46B9D" w:rsidRPr="00004756" w14:paraId="2F025A27" w14:textId="574E52C2" w:rsidTr="00A46B9D">
        <w:tc>
          <w:tcPr>
            <w:tcW w:w="2972" w:type="dxa"/>
          </w:tcPr>
          <w:p w14:paraId="4F526AA5" w14:textId="77777777" w:rsidR="00A46B9D" w:rsidRPr="00004756" w:rsidRDefault="00A46B9D" w:rsidP="00E62E1D">
            <w:pPr>
              <w:keepNext/>
              <w:tabs>
                <w:tab w:val="clear" w:pos="720"/>
              </w:tabs>
              <w:suppressAutoHyphens w:val="0"/>
              <w:spacing w:line="360" w:lineRule="auto"/>
              <w:rPr>
                <w:rFonts w:eastAsia="Calibri" w:cs="Calibri"/>
              </w:rPr>
            </w:pPr>
            <w:r w:rsidRPr="00004756">
              <w:rPr>
                <w:rFonts w:eastAsia="Calibri" w:cs="Calibri"/>
              </w:rPr>
              <w:t>rs12272669 (</w:t>
            </w:r>
            <w:r w:rsidRPr="00004756">
              <w:rPr>
                <w:rFonts w:eastAsia="Calibri" w:cs="Calibri"/>
                <w:i/>
              </w:rPr>
              <w:t>MMACHC</w:t>
            </w:r>
            <w:r w:rsidRPr="00004756">
              <w:rPr>
                <w:rFonts w:eastAsia="Calibri" w:cs="Calibri"/>
              </w:rPr>
              <w:t>)</w:t>
            </w:r>
          </w:p>
        </w:tc>
        <w:tc>
          <w:tcPr>
            <w:tcW w:w="1701" w:type="dxa"/>
          </w:tcPr>
          <w:p w14:paraId="27D2145C" w14:textId="77777777" w:rsidR="00A46B9D" w:rsidRPr="00004756" w:rsidRDefault="00A46B9D" w:rsidP="00E62E1D">
            <w:pPr>
              <w:keepNext/>
              <w:tabs>
                <w:tab w:val="clear" w:pos="720"/>
              </w:tabs>
              <w:suppressAutoHyphens w:val="0"/>
              <w:spacing w:line="360" w:lineRule="auto"/>
              <w:rPr>
                <w:rFonts w:eastAsia="Calibri" w:cs="Calibri"/>
              </w:rPr>
            </w:pPr>
            <w:r w:rsidRPr="00004756">
              <w:rPr>
                <w:rFonts w:eastAsia="Calibri" w:cs="Calibri"/>
              </w:rPr>
              <w:t>A</w:t>
            </w:r>
          </w:p>
        </w:tc>
        <w:tc>
          <w:tcPr>
            <w:tcW w:w="1985" w:type="dxa"/>
          </w:tcPr>
          <w:p w14:paraId="4163DC2C" w14:textId="77777777" w:rsidR="00A46B9D" w:rsidRPr="00004756" w:rsidRDefault="00A46B9D" w:rsidP="00E62E1D">
            <w:pPr>
              <w:keepNext/>
              <w:tabs>
                <w:tab w:val="clear" w:pos="720"/>
              </w:tabs>
              <w:suppressAutoHyphens w:val="0"/>
              <w:spacing w:line="360" w:lineRule="auto"/>
              <w:rPr>
                <w:rFonts w:eastAsia="Calibri" w:cs="Calibri"/>
              </w:rPr>
            </w:pPr>
            <w:r w:rsidRPr="00004756">
              <w:rPr>
                <w:rFonts w:eastAsia="Calibri" w:cs="Calibri"/>
              </w:rPr>
              <w:t>G</w:t>
            </w:r>
          </w:p>
        </w:tc>
        <w:tc>
          <w:tcPr>
            <w:tcW w:w="4141" w:type="dxa"/>
          </w:tcPr>
          <w:p w14:paraId="72C9C200" w14:textId="5FB8390A" w:rsidR="00A46B9D" w:rsidRPr="00004756" w:rsidRDefault="00A46B9D" w:rsidP="00E62E1D">
            <w:pPr>
              <w:keepNext/>
              <w:tabs>
                <w:tab w:val="clear" w:pos="720"/>
              </w:tabs>
              <w:suppressAutoHyphens w:val="0"/>
              <w:spacing w:line="360" w:lineRule="auto"/>
              <w:rPr>
                <w:rFonts w:eastAsia="Calibri" w:cs="Calibri"/>
              </w:rPr>
            </w:pPr>
            <w:r>
              <w:rPr>
                <w:rFonts w:eastAsia="Calibri" w:cs="Calibri"/>
              </w:rPr>
              <w:t>N=94 (Table S1)</w:t>
            </w:r>
          </w:p>
        </w:tc>
      </w:tr>
      <w:tr w:rsidR="00A46B9D" w:rsidRPr="00004756" w14:paraId="1C1993E2" w14:textId="41247EEC" w:rsidTr="00A46B9D">
        <w:tc>
          <w:tcPr>
            <w:tcW w:w="2972" w:type="dxa"/>
          </w:tcPr>
          <w:p w14:paraId="08495FAA" w14:textId="77777777" w:rsidR="00A46B9D" w:rsidRPr="00004756" w:rsidRDefault="00A46B9D" w:rsidP="00E62E1D">
            <w:pPr>
              <w:keepNext/>
              <w:tabs>
                <w:tab w:val="clear" w:pos="720"/>
              </w:tabs>
              <w:suppressAutoHyphens w:val="0"/>
              <w:spacing w:line="360" w:lineRule="auto"/>
              <w:rPr>
                <w:rFonts w:eastAsia="Calibri" w:cs="Calibri"/>
              </w:rPr>
            </w:pPr>
            <w:r w:rsidRPr="00004756">
              <w:rPr>
                <w:rFonts w:eastAsia="Calibri" w:cs="Calibri"/>
              </w:rPr>
              <w:t>rs34324219 (</w:t>
            </w:r>
            <w:r w:rsidRPr="00004756">
              <w:rPr>
                <w:rFonts w:eastAsia="Calibri" w:cs="Calibri"/>
                <w:i/>
              </w:rPr>
              <w:t>TCN1</w:t>
            </w:r>
            <w:r w:rsidRPr="00004756">
              <w:rPr>
                <w:rFonts w:eastAsia="Calibri" w:cs="Calibri"/>
              </w:rPr>
              <w:t>)</w:t>
            </w:r>
          </w:p>
        </w:tc>
        <w:tc>
          <w:tcPr>
            <w:tcW w:w="1701" w:type="dxa"/>
          </w:tcPr>
          <w:p w14:paraId="01E7B9E7" w14:textId="77777777" w:rsidR="00A46B9D" w:rsidRPr="00004756" w:rsidRDefault="00A46B9D" w:rsidP="00E62E1D">
            <w:pPr>
              <w:keepNext/>
              <w:tabs>
                <w:tab w:val="clear" w:pos="720"/>
              </w:tabs>
              <w:suppressAutoHyphens w:val="0"/>
              <w:spacing w:line="360" w:lineRule="auto"/>
              <w:rPr>
                <w:rFonts w:eastAsia="Calibri" w:cs="Calibri"/>
              </w:rPr>
            </w:pPr>
            <w:r w:rsidRPr="00004756">
              <w:rPr>
                <w:rFonts w:eastAsia="Calibri" w:cs="Calibri"/>
              </w:rPr>
              <w:t>C</w:t>
            </w:r>
          </w:p>
        </w:tc>
        <w:tc>
          <w:tcPr>
            <w:tcW w:w="1985" w:type="dxa"/>
          </w:tcPr>
          <w:p w14:paraId="31D38EC9" w14:textId="77777777" w:rsidR="00A46B9D" w:rsidRPr="00004756" w:rsidRDefault="00A46B9D" w:rsidP="00E62E1D">
            <w:pPr>
              <w:keepNext/>
              <w:tabs>
                <w:tab w:val="clear" w:pos="720"/>
              </w:tabs>
              <w:suppressAutoHyphens w:val="0"/>
              <w:spacing w:line="360" w:lineRule="auto"/>
              <w:rPr>
                <w:rFonts w:eastAsia="Calibri" w:cs="Calibri"/>
              </w:rPr>
            </w:pPr>
            <w:r w:rsidRPr="00004756">
              <w:rPr>
                <w:rFonts w:eastAsia="Calibri" w:cs="Calibri"/>
              </w:rPr>
              <w:t>A</w:t>
            </w:r>
          </w:p>
        </w:tc>
        <w:tc>
          <w:tcPr>
            <w:tcW w:w="4141" w:type="dxa"/>
          </w:tcPr>
          <w:p w14:paraId="30260691" w14:textId="230CBB76" w:rsidR="00A46B9D" w:rsidRPr="00004756" w:rsidRDefault="00A46B9D" w:rsidP="00E62E1D">
            <w:pPr>
              <w:keepNext/>
              <w:tabs>
                <w:tab w:val="clear" w:pos="720"/>
              </w:tabs>
              <w:suppressAutoHyphens w:val="0"/>
              <w:spacing w:line="360" w:lineRule="auto"/>
              <w:rPr>
                <w:rFonts w:eastAsia="Calibri" w:cs="Calibri"/>
              </w:rPr>
            </w:pPr>
            <w:r>
              <w:rPr>
                <w:rFonts w:eastAsia="Calibri" w:cs="Calibri"/>
              </w:rPr>
              <w:t>Not available</w:t>
            </w:r>
          </w:p>
        </w:tc>
      </w:tr>
      <w:tr w:rsidR="00A46B9D" w:rsidRPr="00004756" w14:paraId="5D3FCC18" w14:textId="64F49FCD" w:rsidTr="00A46B9D">
        <w:tc>
          <w:tcPr>
            <w:tcW w:w="2972" w:type="dxa"/>
          </w:tcPr>
          <w:p w14:paraId="011C8FB2" w14:textId="77777777" w:rsidR="00A46B9D" w:rsidRPr="00004756" w:rsidRDefault="00A46B9D" w:rsidP="00E62E1D">
            <w:pPr>
              <w:keepNext/>
              <w:tabs>
                <w:tab w:val="clear" w:pos="720"/>
              </w:tabs>
              <w:suppressAutoHyphens w:val="0"/>
              <w:spacing w:line="360" w:lineRule="auto"/>
              <w:rPr>
                <w:rFonts w:eastAsia="Calibri" w:cs="Calibri"/>
              </w:rPr>
            </w:pPr>
            <w:r w:rsidRPr="00004756">
              <w:rPr>
                <w:rFonts w:eastAsia="Calibri" w:cs="Calibri"/>
              </w:rPr>
              <w:t>rs602662 (</w:t>
            </w:r>
            <w:r w:rsidRPr="00004756">
              <w:rPr>
                <w:rFonts w:eastAsia="Calibri" w:cs="Calibri"/>
                <w:i/>
              </w:rPr>
              <w:t>FUT2</w:t>
            </w:r>
            <w:r w:rsidRPr="00004756">
              <w:rPr>
                <w:rFonts w:eastAsia="Calibri" w:cs="Calibri"/>
              </w:rPr>
              <w:t>)</w:t>
            </w:r>
          </w:p>
        </w:tc>
        <w:tc>
          <w:tcPr>
            <w:tcW w:w="1701" w:type="dxa"/>
          </w:tcPr>
          <w:p w14:paraId="3FC1425B" w14:textId="77777777" w:rsidR="00A46B9D" w:rsidRPr="00004756" w:rsidRDefault="00A46B9D" w:rsidP="00E62E1D">
            <w:pPr>
              <w:keepNext/>
              <w:tabs>
                <w:tab w:val="clear" w:pos="720"/>
              </w:tabs>
              <w:suppressAutoHyphens w:val="0"/>
              <w:spacing w:line="360" w:lineRule="auto"/>
              <w:rPr>
                <w:rFonts w:eastAsia="Calibri" w:cs="Calibri"/>
              </w:rPr>
            </w:pPr>
            <w:r w:rsidRPr="00004756">
              <w:rPr>
                <w:rFonts w:eastAsia="Calibri" w:cs="Calibri"/>
              </w:rPr>
              <w:t>A</w:t>
            </w:r>
          </w:p>
        </w:tc>
        <w:tc>
          <w:tcPr>
            <w:tcW w:w="1985" w:type="dxa"/>
          </w:tcPr>
          <w:p w14:paraId="741B7AB8" w14:textId="77777777" w:rsidR="00A46B9D" w:rsidRPr="00004756" w:rsidRDefault="00A46B9D" w:rsidP="00E62E1D">
            <w:pPr>
              <w:keepNext/>
              <w:tabs>
                <w:tab w:val="clear" w:pos="720"/>
              </w:tabs>
              <w:suppressAutoHyphens w:val="0"/>
              <w:spacing w:line="360" w:lineRule="auto"/>
              <w:rPr>
                <w:rFonts w:eastAsia="Calibri" w:cs="Calibri"/>
              </w:rPr>
            </w:pPr>
            <w:r w:rsidRPr="00004756">
              <w:rPr>
                <w:rFonts w:eastAsia="Calibri" w:cs="Calibri"/>
              </w:rPr>
              <w:t>G</w:t>
            </w:r>
          </w:p>
        </w:tc>
        <w:tc>
          <w:tcPr>
            <w:tcW w:w="4141" w:type="dxa"/>
          </w:tcPr>
          <w:p w14:paraId="17A36CFE" w14:textId="72E1A209" w:rsidR="00A46B9D" w:rsidRPr="00004756" w:rsidRDefault="00A46B9D" w:rsidP="00E62E1D">
            <w:pPr>
              <w:keepNext/>
              <w:tabs>
                <w:tab w:val="clear" w:pos="720"/>
              </w:tabs>
              <w:suppressAutoHyphens w:val="0"/>
              <w:spacing w:line="360" w:lineRule="auto"/>
              <w:rPr>
                <w:rFonts w:eastAsia="Calibri" w:cs="Calibri"/>
              </w:rPr>
            </w:pPr>
            <w:r>
              <w:rPr>
                <w:rFonts w:eastAsia="Calibri" w:cs="Calibri"/>
              </w:rPr>
              <w:t>N=37 (Table S1)</w:t>
            </w:r>
          </w:p>
        </w:tc>
      </w:tr>
      <w:tr w:rsidR="00A46B9D" w:rsidRPr="00004756" w14:paraId="258C5BC5" w14:textId="739906DD" w:rsidTr="00A46B9D">
        <w:tc>
          <w:tcPr>
            <w:tcW w:w="2972" w:type="dxa"/>
          </w:tcPr>
          <w:p w14:paraId="73859A3E" w14:textId="77777777" w:rsidR="00A46B9D" w:rsidRPr="00004756" w:rsidRDefault="00A46B9D" w:rsidP="00E62E1D">
            <w:pPr>
              <w:keepNext/>
              <w:tabs>
                <w:tab w:val="clear" w:pos="720"/>
              </w:tabs>
              <w:suppressAutoHyphens w:val="0"/>
              <w:spacing w:line="360" w:lineRule="auto"/>
              <w:rPr>
                <w:rFonts w:eastAsia="Calibri" w:cs="Calibri"/>
              </w:rPr>
            </w:pPr>
            <w:r w:rsidRPr="00004756">
              <w:rPr>
                <w:rFonts w:eastAsia="Calibri" w:cs="Calibri"/>
              </w:rPr>
              <w:t>rs1801222 (</w:t>
            </w:r>
            <w:r w:rsidRPr="00004756">
              <w:rPr>
                <w:rFonts w:eastAsia="Calibri" w:cs="Calibri"/>
                <w:i/>
              </w:rPr>
              <w:t>CUBN</w:t>
            </w:r>
            <w:r w:rsidRPr="00004756">
              <w:rPr>
                <w:rFonts w:eastAsia="Calibri" w:cs="Calibri"/>
              </w:rPr>
              <w:t>)</w:t>
            </w:r>
          </w:p>
        </w:tc>
        <w:tc>
          <w:tcPr>
            <w:tcW w:w="1701" w:type="dxa"/>
          </w:tcPr>
          <w:p w14:paraId="677B4172" w14:textId="77777777" w:rsidR="00A46B9D" w:rsidRPr="00004756" w:rsidRDefault="00A46B9D" w:rsidP="00E62E1D">
            <w:pPr>
              <w:keepNext/>
              <w:tabs>
                <w:tab w:val="clear" w:pos="720"/>
              </w:tabs>
              <w:suppressAutoHyphens w:val="0"/>
              <w:spacing w:line="360" w:lineRule="auto"/>
              <w:rPr>
                <w:rFonts w:eastAsia="Calibri" w:cs="Calibri"/>
              </w:rPr>
            </w:pPr>
            <w:r w:rsidRPr="00004756">
              <w:rPr>
                <w:rFonts w:eastAsia="Calibri" w:cs="Calibri"/>
              </w:rPr>
              <w:t>G</w:t>
            </w:r>
          </w:p>
        </w:tc>
        <w:tc>
          <w:tcPr>
            <w:tcW w:w="1985" w:type="dxa"/>
          </w:tcPr>
          <w:p w14:paraId="7E8A953E" w14:textId="77777777" w:rsidR="00A46B9D" w:rsidRPr="00004756" w:rsidRDefault="00A46B9D" w:rsidP="00E62E1D">
            <w:pPr>
              <w:keepNext/>
              <w:tabs>
                <w:tab w:val="clear" w:pos="720"/>
              </w:tabs>
              <w:suppressAutoHyphens w:val="0"/>
              <w:spacing w:line="360" w:lineRule="auto"/>
              <w:rPr>
                <w:rFonts w:eastAsia="Calibri" w:cs="Calibri"/>
              </w:rPr>
            </w:pPr>
            <w:r w:rsidRPr="00004756">
              <w:rPr>
                <w:rFonts w:eastAsia="Calibri" w:cs="Calibri"/>
              </w:rPr>
              <w:t>A</w:t>
            </w:r>
          </w:p>
        </w:tc>
        <w:tc>
          <w:tcPr>
            <w:tcW w:w="4141" w:type="dxa"/>
          </w:tcPr>
          <w:p w14:paraId="50A94E23" w14:textId="5EB6E77C" w:rsidR="00A46B9D" w:rsidRPr="00004756" w:rsidRDefault="00A46B9D" w:rsidP="00E62E1D">
            <w:pPr>
              <w:keepNext/>
              <w:tabs>
                <w:tab w:val="clear" w:pos="720"/>
              </w:tabs>
              <w:suppressAutoHyphens w:val="0"/>
              <w:spacing w:line="360" w:lineRule="auto"/>
              <w:rPr>
                <w:rFonts w:eastAsia="Calibri" w:cs="Calibri"/>
              </w:rPr>
            </w:pPr>
            <w:r>
              <w:rPr>
                <w:rFonts w:eastAsia="Calibri" w:cs="Calibri"/>
              </w:rPr>
              <w:t>Not available</w:t>
            </w:r>
          </w:p>
        </w:tc>
      </w:tr>
      <w:tr w:rsidR="00A46B9D" w:rsidRPr="00004756" w14:paraId="0E55865D" w14:textId="0A276651" w:rsidTr="00A46B9D">
        <w:tc>
          <w:tcPr>
            <w:tcW w:w="2972" w:type="dxa"/>
          </w:tcPr>
          <w:p w14:paraId="14A94BF1" w14:textId="77777777" w:rsidR="00A46B9D" w:rsidRPr="00004756" w:rsidRDefault="00A46B9D" w:rsidP="00E62E1D">
            <w:pPr>
              <w:keepNext/>
              <w:tabs>
                <w:tab w:val="clear" w:pos="720"/>
              </w:tabs>
              <w:suppressAutoHyphens w:val="0"/>
              <w:spacing w:line="360" w:lineRule="auto"/>
              <w:rPr>
                <w:rFonts w:eastAsia="Calibri" w:cs="Calibri"/>
              </w:rPr>
            </w:pPr>
            <w:r w:rsidRPr="00004756">
              <w:rPr>
                <w:rFonts w:eastAsia="Calibri" w:cs="Calibri"/>
              </w:rPr>
              <w:t>rs41281112 (</w:t>
            </w:r>
            <w:r w:rsidRPr="00004756">
              <w:rPr>
                <w:rFonts w:eastAsia="Calibri" w:cs="Calibri"/>
                <w:i/>
              </w:rPr>
              <w:t>CLYBL</w:t>
            </w:r>
            <w:r w:rsidRPr="00004756">
              <w:rPr>
                <w:rFonts w:eastAsia="Calibri" w:cs="Calibri"/>
              </w:rPr>
              <w:t>)</w:t>
            </w:r>
          </w:p>
        </w:tc>
        <w:tc>
          <w:tcPr>
            <w:tcW w:w="1701" w:type="dxa"/>
          </w:tcPr>
          <w:p w14:paraId="3DD318F2" w14:textId="77777777" w:rsidR="00A46B9D" w:rsidRPr="00004756" w:rsidRDefault="00A46B9D" w:rsidP="00E62E1D">
            <w:pPr>
              <w:keepNext/>
              <w:tabs>
                <w:tab w:val="clear" w:pos="720"/>
              </w:tabs>
              <w:suppressAutoHyphens w:val="0"/>
              <w:spacing w:line="360" w:lineRule="auto"/>
              <w:rPr>
                <w:rFonts w:eastAsia="Calibri" w:cs="Calibri"/>
              </w:rPr>
            </w:pPr>
            <w:r w:rsidRPr="00004756">
              <w:rPr>
                <w:rFonts w:eastAsia="Calibri" w:cs="Calibri"/>
              </w:rPr>
              <w:t>C</w:t>
            </w:r>
          </w:p>
        </w:tc>
        <w:tc>
          <w:tcPr>
            <w:tcW w:w="1985" w:type="dxa"/>
          </w:tcPr>
          <w:p w14:paraId="6670BED3" w14:textId="77777777" w:rsidR="00A46B9D" w:rsidRPr="00004756" w:rsidRDefault="00A46B9D" w:rsidP="00E62E1D">
            <w:pPr>
              <w:keepNext/>
              <w:tabs>
                <w:tab w:val="clear" w:pos="720"/>
              </w:tabs>
              <w:suppressAutoHyphens w:val="0"/>
              <w:spacing w:line="360" w:lineRule="auto"/>
              <w:rPr>
                <w:rFonts w:eastAsia="Calibri" w:cs="Calibri"/>
              </w:rPr>
            </w:pPr>
            <w:r w:rsidRPr="00004756">
              <w:rPr>
                <w:rFonts w:eastAsia="Calibri" w:cs="Calibri"/>
              </w:rPr>
              <w:t>T</w:t>
            </w:r>
          </w:p>
        </w:tc>
        <w:tc>
          <w:tcPr>
            <w:tcW w:w="4141" w:type="dxa"/>
          </w:tcPr>
          <w:p w14:paraId="248CDD7C" w14:textId="6DE4B1C9" w:rsidR="00A46B9D" w:rsidRPr="00004756" w:rsidRDefault="00A46B9D" w:rsidP="00E62E1D">
            <w:pPr>
              <w:keepNext/>
              <w:tabs>
                <w:tab w:val="clear" w:pos="720"/>
              </w:tabs>
              <w:suppressAutoHyphens w:val="0"/>
              <w:spacing w:line="360" w:lineRule="auto"/>
              <w:rPr>
                <w:rFonts w:eastAsia="Calibri" w:cs="Calibri"/>
              </w:rPr>
            </w:pPr>
            <w:r>
              <w:rPr>
                <w:rFonts w:eastAsia="Calibri" w:cs="Calibri"/>
              </w:rPr>
              <w:t>Not available</w:t>
            </w:r>
          </w:p>
        </w:tc>
      </w:tr>
      <w:tr w:rsidR="00A46B9D" w:rsidRPr="00004756" w14:paraId="50BDB250" w14:textId="4B19B065" w:rsidTr="00A46B9D">
        <w:tc>
          <w:tcPr>
            <w:tcW w:w="2972" w:type="dxa"/>
            <w:tcBorders>
              <w:bottom w:val="single" w:sz="4" w:space="0" w:color="auto"/>
            </w:tcBorders>
          </w:tcPr>
          <w:p w14:paraId="02104BDF" w14:textId="77777777" w:rsidR="00A46B9D" w:rsidRPr="00004756" w:rsidRDefault="00A46B9D" w:rsidP="00E62E1D">
            <w:pPr>
              <w:keepNext/>
              <w:tabs>
                <w:tab w:val="clear" w:pos="720"/>
              </w:tabs>
              <w:suppressAutoHyphens w:val="0"/>
              <w:spacing w:line="360" w:lineRule="auto"/>
              <w:rPr>
                <w:rFonts w:eastAsia="Calibri" w:cs="Calibri"/>
              </w:rPr>
            </w:pPr>
            <w:r w:rsidRPr="00004756">
              <w:rPr>
                <w:rFonts w:eastAsia="Calibri" w:cs="Calibri"/>
              </w:rPr>
              <w:t>rs1141321 (</w:t>
            </w:r>
            <w:r w:rsidRPr="00004756">
              <w:rPr>
                <w:rFonts w:eastAsia="Calibri" w:cs="Calibri"/>
                <w:i/>
              </w:rPr>
              <w:t>MUT</w:t>
            </w:r>
            <w:r w:rsidRPr="00004756">
              <w:rPr>
                <w:rFonts w:eastAsia="Calibri" w:cs="Calibri"/>
              </w:rPr>
              <w:t>)</w:t>
            </w:r>
          </w:p>
        </w:tc>
        <w:tc>
          <w:tcPr>
            <w:tcW w:w="1701" w:type="dxa"/>
            <w:tcBorders>
              <w:bottom w:val="single" w:sz="4" w:space="0" w:color="auto"/>
            </w:tcBorders>
          </w:tcPr>
          <w:p w14:paraId="463B5253" w14:textId="77777777" w:rsidR="00A46B9D" w:rsidRPr="00004756" w:rsidRDefault="00A46B9D" w:rsidP="00E62E1D">
            <w:pPr>
              <w:keepNext/>
              <w:tabs>
                <w:tab w:val="clear" w:pos="720"/>
              </w:tabs>
              <w:suppressAutoHyphens w:val="0"/>
              <w:spacing w:line="360" w:lineRule="auto"/>
              <w:rPr>
                <w:rFonts w:eastAsia="Calibri" w:cs="Calibri"/>
              </w:rPr>
            </w:pPr>
            <w:r w:rsidRPr="00004756">
              <w:rPr>
                <w:rFonts w:eastAsia="Calibri" w:cs="Calibri"/>
              </w:rPr>
              <w:t>C</w:t>
            </w:r>
          </w:p>
        </w:tc>
        <w:tc>
          <w:tcPr>
            <w:tcW w:w="1985" w:type="dxa"/>
            <w:tcBorders>
              <w:bottom w:val="single" w:sz="4" w:space="0" w:color="auto"/>
            </w:tcBorders>
          </w:tcPr>
          <w:p w14:paraId="6CD2095A" w14:textId="77777777" w:rsidR="00A46B9D" w:rsidRPr="00004756" w:rsidRDefault="00A46B9D" w:rsidP="00E62E1D">
            <w:pPr>
              <w:keepNext/>
              <w:tabs>
                <w:tab w:val="clear" w:pos="720"/>
              </w:tabs>
              <w:suppressAutoHyphens w:val="0"/>
              <w:spacing w:line="360" w:lineRule="auto"/>
              <w:rPr>
                <w:rFonts w:eastAsia="Calibri" w:cs="Calibri"/>
              </w:rPr>
            </w:pPr>
            <w:r w:rsidRPr="00004756">
              <w:rPr>
                <w:rFonts w:eastAsia="Calibri" w:cs="Calibri"/>
              </w:rPr>
              <w:t>T</w:t>
            </w:r>
          </w:p>
        </w:tc>
        <w:tc>
          <w:tcPr>
            <w:tcW w:w="4141" w:type="dxa"/>
            <w:tcBorders>
              <w:bottom w:val="single" w:sz="4" w:space="0" w:color="auto"/>
            </w:tcBorders>
          </w:tcPr>
          <w:p w14:paraId="3390DE12" w14:textId="624BB202" w:rsidR="00A46B9D" w:rsidRPr="00004756" w:rsidRDefault="00A46B9D" w:rsidP="00E62E1D">
            <w:pPr>
              <w:keepNext/>
              <w:tabs>
                <w:tab w:val="clear" w:pos="720"/>
              </w:tabs>
              <w:suppressAutoHyphens w:val="0"/>
              <w:spacing w:line="360" w:lineRule="auto"/>
              <w:rPr>
                <w:rFonts w:eastAsia="Calibri" w:cs="Calibri"/>
              </w:rPr>
            </w:pPr>
            <w:r>
              <w:rPr>
                <w:rFonts w:eastAsia="Calibri" w:cs="Calibri"/>
              </w:rPr>
              <w:t>N=90 (Table S1)</w:t>
            </w:r>
          </w:p>
        </w:tc>
      </w:tr>
    </w:tbl>
    <w:p w14:paraId="0DFBA3AB" w14:textId="1590DC01" w:rsidR="00347E92" w:rsidRPr="00E62E1D" w:rsidRDefault="0092164F" w:rsidP="004E6458">
      <w:pPr>
        <w:numPr>
          <w:ilvl w:val="0"/>
          <w:numId w:val="4"/>
        </w:numPr>
        <w:tabs>
          <w:tab w:val="clear" w:pos="720"/>
        </w:tabs>
        <w:suppressAutoHyphens w:val="0"/>
        <w:autoSpaceDE w:val="0"/>
        <w:autoSpaceDN w:val="0"/>
        <w:adjustRightInd w:val="0"/>
        <w:spacing w:after="0" w:line="480" w:lineRule="auto"/>
        <w:contextualSpacing/>
        <w:rPr>
          <w:rFonts w:ascii="TimesLTStd-Roman" w:eastAsia="Calibri" w:hAnsi="TimesLTStd-Roman" w:cs="TimesLTStd-Roman"/>
          <w:lang w:val="en-US"/>
        </w:rPr>
      </w:pPr>
      <w:r w:rsidRPr="00E62E1D">
        <w:rPr>
          <w:rFonts w:ascii="TimesLTStd-Roman" w:eastAsia="Calibri" w:hAnsi="TimesLTStd-Roman" w:cs="TimesLTStd-Roman"/>
          <w:lang w:val="en-US"/>
        </w:rPr>
        <w:t>rs7788053 (</w:t>
      </w:r>
      <w:r w:rsidRPr="00E62E1D">
        <w:rPr>
          <w:rFonts w:ascii="TimesLTStd-Roman" w:eastAsia="Calibri" w:hAnsi="TimesLTStd-Roman" w:cs="TimesLTStd-Roman"/>
          <w:i/>
          <w:lang w:val="en-US"/>
        </w:rPr>
        <w:t>FUT6</w:t>
      </w:r>
      <w:r w:rsidRPr="00E62E1D">
        <w:rPr>
          <w:rFonts w:ascii="TimesLTStd-Roman" w:eastAsia="Calibri" w:hAnsi="TimesLTStd-Roman" w:cs="TimesLTStd-Roman"/>
          <w:lang w:val="en-US"/>
        </w:rPr>
        <w:t>) was excluded from analyses as this SNP is mono-allelic in European populations.</w:t>
      </w:r>
    </w:p>
    <w:p w14:paraId="186E8134" w14:textId="7E9F3E22" w:rsidR="007516A3" w:rsidRPr="00E62E1D" w:rsidRDefault="007516A3" w:rsidP="004E6458">
      <w:pPr>
        <w:numPr>
          <w:ilvl w:val="0"/>
          <w:numId w:val="4"/>
        </w:numPr>
        <w:tabs>
          <w:tab w:val="clear" w:pos="720"/>
        </w:tabs>
        <w:suppressAutoHyphens w:val="0"/>
        <w:autoSpaceDE w:val="0"/>
        <w:autoSpaceDN w:val="0"/>
        <w:adjustRightInd w:val="0"/>
        <w:spacing w:after="0" w:line="480" w:lineRule="auto"/>
        <w:contextualSpacing/>
        <w:rPr>
          <w:rFonts w:ascii="TimesLTStd-Roman" w:eastAsia="Calibri" w:hAnsi="TimesLTStd-Roman" w:cs="TimesLTStd-Roman"/>
          <w:lang w:val="en-US"/>
        </w:rPr>
      </w:pPr>
      <w:r w:rsidRPr="00E62E1D">
        <w:rPr>
          <w:rFonts w:ascii="TimesLTStd-Roman" w:eastAsia="Calibri" w:hAnsi="TimesLTStd-Roman" w:cs="TimesLTStd-Roman"/>
          <w:lang w:val="en-US"/>
        </w:rPr>
        <w:t>The allele associated with increased serum vitamin B-12 concentrations</w:t>
      </w:r>
    </w:p>
    <w:p w14:paraId="3E1F93FD" w14:textId="4A8EC498" w:rsidR="00B65D5A" w:rsidRPr="00E62E1D" w:rsidRDefault="00B65D5A" w:rsidP="00B65D5A">
      <w:pPr>
        <w:numPr>
          <w:ilvl w:val="0"/>
          <w:numId w:val="4"/>
        </w:numPr>
        <w:tabs>
          <w:tab w:val="clear" w:pos="720"/>
        </w:tabs>
        <w:suppressAutoHyphens w:val="0"/>
        <w:autoSpaceDE w:val="0"/>
        <w:autoSpaceDN w:val="0"/>
        <w:adjustRightInd w:val="0"/>
        <w:spacing w:after="0" w:line="480" w:lineRule="auto"/>
        <w:contextualSpacing/>
        <w:rPr>
          <w:rFonts w:ascii="TimesLTStd-Roman" w:eastAsia="Calibri" w:hAnsi="TimesLTStd-Roman" w:cs="TimesLTStd-Roman"/>
          <w:lang w:val="en-US"/>
        </w:rPr>
      </w:pPr>
      <w:r w:rsidRPr="00E62E1D">
        <w:rPr>
          <w:rFonts w:ascii="TimesLTStd-Roman" w:eastAsia="Calibri" w:hAnsi="TimesLTStd-Roman" w:cs="TimesLTStd-Roman"/>
          <w:lang w:val="en-US"/>
        </w:rPr>
        <w:t>Proxies can be o</w:t>
      </w:r>
      <w:bookmarkStart w:id="2" w:name="_GoBack"/>
      <w:bookmarkEnd w:id="2"/>
      <w:r w:rsidRPr="00E62E1D">
        <w:rPr>
          <w:rFonts w:ascii="TimesLTStd-Roman" w:eastAsia="Calibri" w:hAnsi="TimesLTStd-Roman" w:cs="TimesLTStd-Roman"/>
          <w:lang w:val="en-US"/>
        </w:rPr>
        <w:t xml:space="preserve">btained from: </w:t>
      </w:r>
      <w:hyperlink r:id="rId8" w:history="1">
        <w:r w:rsidRPr="00E62E1D">
          <w:rPr>
            <w:rStyle w:val="Hyperlink"/>
            <w:rFonts w:ascii="TimesLTStd-Roman" w:eastAsia="Calibri" w:hAnsi="TimesLTStd-Roman" w:cs="TimesLTStd-Roman"/>
            <w:lang w:val="en-US"/>
          </w:rPr>
          <w:t>https://ldlink.nci.nih.gov/?tab=ldproxy</w:t>
        </w:r>
      </w:hyperlink>
      <w:r w:rsidRPr="00E62E1D">
        <w:rPr>
          <w:rFonts w:ascii="TimesLTStd-Roman" w:eastAsia="Calibri" w:hAnsi="TimesLTStd-Roman" w:cs="TimesLTStd-Roman"/>
          <w:lang w:val="en-US"/>
        </w:rPr>
        <w:t xml:space="preserve"> (Machiela MJ, Chanock SJ. LDlink: a web-based application for exploring population-specific haplotype structure and linking correlated alleles of possible functional variants. Bioinformatics. 2015 Jul 2.</w:t>
      </w:r>
      <w:r w:rsidR="00E62E1D" w:rsidRPr="00E62E1D">
        <w:rPr>
          <w:rFonts w:ascii="TimesLTStd-Roman" w:eastAsia="Calibri" w:hAnsi="TimesLTStd-Roman" w:cs="TimesLTStd-Roman"/>
          <w:lang w:val="en-US"/>
        </w:rPr>
        <w:t>)</w:t>
      </w:r>
    </w:p>
    <w:p w14:paraId="77AE468D" w14:textId="3DCF10F2" w:rsidR="007516A3" w:rsidRPr="007516A3" w:rsidRDefault="007516A3" w:rsidP="004E6458">
      <w:pPr>
        <w:tabs>
          <w:tab w:val="clear" w:pos="720"/>
        </w:tabs>
        <w:suppressAutoHyphens w:val="0"/>
        <w:spacing w:line="480" w:lineRule="auto"/>
      </w:pPr>
    </w:p>
    <w:sectPr w:rsidR="007516A3" w:rsidRPr="007516A3" w:rsidSect="000B194F">
      <w:footerReference w:type="even" r:id="rId9"/>
      <w:footerReference w:type="default" r:id="rId10"/>
      <w:pgSz w:w="11906" w:h="16838"/>
      <w:pgMar w:top="1440" w:right="1440" w:bottom="1440" w:left="1440" w:header="0" w:footer="0" w:gutter="0"/>
      <w:cols w:space="720"/>
      <w:formProt w:val="0"/>
      <w:docGrid w:linePitch="360" w:charSpace="-2049"/>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F87808" w16cex:dateUtc="2021-03-14T10:54:00Z"/>
  <w16cex:commentExtensible w16cex:durableId="23F8781A" w16cex:dateUtc="2021-03-14T10:55:00Z"/>
  <w16cex:commentExtensible w16cex:durableId="241D8784" w16cex:dateUtc="2021-04-11T12:34:00Z"/>
  <w16cex:commentExtensible w16cex:durableId="241D8835" w16cex:dateUtc="2021-04-11T12:37:00Z"/>
  <w16cex:commentExtensible w16cex:durableId="23F87B7F" w16cex:dateUtc="2021-03-14T11:09:00Z"/>
  <w16cex:commentExtensible w16cex:durableId="241D88DE" w16cex:dateUtc="2021-04-11T12:40:00Z"/>
  <w16cex:commentExtensible w16cex:durableId="241D88EC" w16cex:dateUtc="2021-04-11T12: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83D76C" w16cid:durableId="23F87808"/>
  <w16cid:commentId w16cid:paraId="537F1FD1" w16cid:durableId="241D86B5"/>
  <w16cid:commentId w16cid:paraId="18C60492" w16cid:durableId="23F8781A"/>
  <w16cid:commentId w16cid:paraId="624C65F8" w16cid:durableId="23F87307"/>
  <w16cid:commentId w16cid:paraId="1687BF86" w16cid:durableId="241D8784"/>
  <w16cid:commentId w16cid:paraId="7664C5F9" w16cid:durableId="241D86B8"/>
  <w16cid:commentId w16cid:paraId="2380B1CF" w16cid:durableId="241D86B9"/>
  <w16cid:commentId w16cid:paraId="7D7936AA" w16cid:durableId="241D8835"/>
  <w16cid:commentId w16cid:paraId="5020F8D3" w16cid:durableId="23F87B7F"/>
  <w16cid:commentId w16cid:paraId="680D844B" w16cid:durableId="241D86BB"/>
  <w16cid:commentId w16cid:paraId="18929D6B" w16cid:durableId="241D88DE"/>
  <w16cid:commentId w16cid:paraId="35B334A8" w16cid:durableId="241D86BC"/>
  <w16cid:commentId w16cid:paraId="773F8297" w16cid:durableId="241D86BD"/>
  <w16cid:commentId w16cid:paraId="74C84559" w16cid:durableId="241D86BE"/>
  <w16cid:commentId w16cid:paraId="05241D7A" w16cid:durableId="241D86BF"/>
  <w16cid:commentId w16cid:paraId="15190822" w16cid:durableId="241D88EC"/>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CA5804" w14:textId="77777777" w:rsidR="00D965DF" w:rsidRDefault="00D965DF" w:rsidP="00AF2504">
      <w:pPr>
        <w:spacing w:after="0" w:line="240" w:lineRule="auto"/>
      </w:pPr>
      <w:r>
        <w:separator/>
      </w:r>
    </w:p>
  </w:endnote>
  <w:endnote w:type="continuationSeparator" w:id="0">
    <w:p w14:paraId="463C5BDE" w14:textId="77777777" w:rsidR="00D965DF" w:rsidRDefault="00D965DF" w:rsidP="00AF25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WenQuanYi Zen He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Lohit Hindi">
    <w:panose1 w:val="00000000000000000000"/>
    <w:charset w:val="00"/>
    <w:family w:val="roman"/>
    <w:notTrueType/>
    <w:pitch w:val="default"/>
  </w:font>
  <w:font w:name="REVODZ+Arial-BoldMT">
    <w:altName w:val="Arial"/>
    <w:panose1 w:val="00000000000000000000"/>
    <w:charset w:val="00"/>
    <w:family w:val="swiss"/>
    <w:notTrueType/>
    <w:pitch w:val="default"/>
    <w:sig w:usb0="00000003" w:usb1="00000000" w:usb2="00000000" w:usb3="00000000" w:csb0="00000001" w:csb1="00000000"/>
  </w:font>
  <w:font w:name="Lucida Grande">
    <w:altName w:val="Arial"/>
    <w:charset w:val="00"/>
    <w:family w:val="swiss"/>
    <w:pitch w:val="variable"/>
    <w:sig w:usb0="E1000AEF" w:usb1="5000A1FF" w:usb2="00000000" w:usb3="00000000" w:csb0="000001B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5FC9E2" w14:textId="77777777" w:rsidR="00AF2504" w:rsidRDefault="00AF2504" w:rsidP="001D763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AEBA684" w14:textId="77777777" w:rsidR="00AF2504" w:rsidRDefault="00AF2504" w:rsidP="00AF250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DDFBF7" w14:textId="2EBF4D15" w:rsidR="00AF2504" w:rsidRDefault="00AF2504" w:rsidP="001D763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62E1D">
      <w:rPr>
        <w:rStyle w:val="PageNumber"/>
        <w:noProof/>
      </w:rPr>
      <w:t>5</w:t>
    </w:r>
    <w:r>
      <w:rPr>
        <w:rStyle w:val="PageNumber"/>
      </w:rPr>
      <w:fldChar w:fldCharType="end"/>
    </w:r>
  </w:p>
  <w:p w14:paraId="12786597" w14:textId="77777777" w:rsidR="00AF2504" w:rsidRDefault="00AF2504" w:rsidP="00AF250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9F1E35" w14:textId="77777777" w:rsidR="00D965DF" w:rsidRDefault="00D965DF" w:rsidP="00AF2504">
      <w:pPr>
        <w:spacing w:after="0" w:line="240" w:lineRule="auto"/>
      </w:pPr>
      <w:r>
        <w:separator/>
      </w:r>
    </w:p>
  </w:footnote>
  <w:footnote w:type="continuationSeparator" w:id="0">
    <w:p w14:paraId="2FDFB458" w14:textId="77777777" w:rsidR="00D965DF" w:rsidRDefault="00D965DF" w:rsidP="00AF25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AF6460"/>
    <w:multiLevelType w:val="hybridMultilevel"/>
    <w:tmpl w:val="400A1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D7742C"/>
    <w:multiLevelType w:val="hybridMultilevel"/>
    <w:tmpl w:val="7A7435A6"/>
    <w:lvl w:ilvl="0" w:tplc="0409000F">
      <w:start w:val="1"/>
      <w:numFmt w:val="decimal"/>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2" w15:restartNumberingAfterBreak="0">
    <w:nsid w:val="215D27FD"/>
    <w:multiLevelType w:val="multilevel"/>
    <w:tmpl w:val="A4D646D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15:restartNumberingAfterBreak="0">
    <w:nsid w:val="31BB1FFB"/>
    <w:multiLevelType w:val="multilevel"/>
    <w:tmpl w:val="30C45CD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5B7B4C07"/>
    <w:multiLevelType w:val="hybridMultilevel"/>
    <w:tmpl w:val="CD18C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94F"/>
    <w:rsid w:val="000034D5"/>
    <w:rsid w:val="00004756"/>
    <w:rsid w:val="000315A8"/>
    <w:rsid w:val="0009508D"/>
    <w:rsid w:val="00096113"/>
    <w:rsid w:val="000A082C"/>
    <w:rsid w:val="000B194F"/>
    <w:rsid w:val="000E0384"/>
    <w:rsid w:val="000E6046"/>
    <w:rsid w:val="001D7759"/>
    <w:rsid w:val="002135B8"/>
    <w:rsid w:val="0025661F"/>
    <w:rsid w:val="00264675"/>
    <w:rsid w:val="00281AEB"/>
    <w:rsid w:val="002D0EE1"/>
    <w:rsid w:val="003046A4"/>
    <w:rsid w:val="00347E92"/>
    <w:rsid w:val="00434F87"/>
    <w:rsid w:val="00435160"/>
    <w:rsid w:val="004B3B4F"/>
    <w:rsid w:val="004E6458"/>
    <w:rsid w:val="005424B4"/>
    <w:rsid w:val="0055224B"/>
    <w:rsid w:val="00590BF3"/>
    <w:rsid w:val="005E4972"/>
    <w:rsid w:val="005E7032"/>
    <w:rsid w:val="00647019"/>
    <w:rsid w:val="00671C8F"/>
    <w:rsid w:val="006B1401"/>
    <w:rsid w:val="00705067"/>
    <w:rsid w:val="007516A3"/>
    <w:rsid w:val="00752396"/>
    <w:rsid w:val="007F249A"/>
    <w:rsid w:val="008C6D21"/>
    <w:rsid w:val="0092164F"/>
    <w:rsid w:val="009712D4"/>
    <w:rsid w:val="00986113"/>
    <w:rsid w:val="009B43A0"/>
    <w:rsid w:val="009C6AD9"/>
    <w:rsid w:val="00A37850"/>
    <w:rsid w:val="00A46B9D"/>
    <w:rsid w:val="00AF2504"/>
    <w:rsid w:val="00B44E5C"/>
    <w:rsid w:val="00B65D5A"/>
    <w:rsid w:val="00BC507E"/>
    <w:rsid w:val="00C073F8"/>
    <w:rsid w:val="00CB4D15"/>
    <w:rsid w:val="00CC6199"/>
    <w:rsid w:val="00D6218F"/>
    <w:rsid w:val="00D965DF"/>
    <w:rsid w:val="00DE550F"/>
    <w:rsid w:val="00DF1B11"/>
    <w:rsid w:val="00E1130B"/>
    <w:rsid w:val="00E405ED"/>
    <w:rsid w:val="00E62E1D"/>
    <w:rsid w:val="00E87DDC"/>
    <w:rsid w:val="00F21CB8"/>
    <w:rsid w:val="00F67D26"/>
    <w:rsid w:val="00F7762C"/>
    <w:rsid w:val="00F85DBB"/>
    <w:rsid w:val="00FD42E7"/>
    <w:rsid w:val="00FD781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5095C3"/>
  <w15:docId w15:val="{6F2BA206-32FA-2D4C-BA02-2BA727AB8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B194F"/>
    <w:pPr>
      <w:tabs>
        <w:tab w:val="left" w:pos="720"/>
      </w:tabs>
      <w:suppressAutoHyphens/>
    </w:pPr>
    <w:rPr>
      <w:rFonts w:ascii="Calibri" w:eastAsia="WenQuanYi Zen Hei" w:hAnsi="Calibri"/>
      <w:lang w:eastAsia="en-US"/>
    </w:rPr>
  </w:style>
  <w:style w:type="paragraph" w:styleId="Heading2">
    <w:name w:val="heading 2"/>
    <w:basedOn w:val="Normal"/>
    <w:next w:val="Textbody"/>
    <w:rsid w:val="000B194F"/>
    <w:pPr>
      <w:tabs>
        <w:tab w:val="num" w:pos="576"/>
      </w:tabs>
      <w:spacing w:before="28" w:after="28" w:line="100" w:lineRule="atLeast"/>
      <w:ind w:left="576" w:hanging="576"/>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rsid w:val="000B194F"/>
    <w:rPr>
      <w:rFonts w:ascii="Times New Roman" w:eastAsia="Times New Roman" w:hAnsi="Times New Roman" w:cs="Times New Roman"/>
      <w:b/>
      <w:bCs/>
      <w:sz w:val="36"/>
      <w:szCs w:val="36"/>
      <w:lang w:eastAsia="en-GB"/>
    </w:rPr>
  </w:style>
  <w:style w:type="character" w:customStyle="1" w:styleId="InternetLink">
    <w:name w:val="Internet Link"/>
    <w:basedOn w:val="DefaultParagraphFont"/>
    <w:rsid w:val="000B194F"/>
    <w:rPr>
      <w:color w:val="0000FF"/>
      <w:u w:val="single"/>
      <w:lang w:val="en-US" w:eastAsia="en-US" w:bidi="en-US"/>
    </w:rPr>
  </w:style>
  <w:style w:type="character" w:customStyle="1" w:styleId="src">
    <w:name w:val="src"/>
    <w:basedOn w:val="DefaultParagraphFont"/>
    <w:rsid w:val="000B194F"/>
  </w:style>
  <w:style w:type="character" w:customStyle="1" w:styleId="jrnl">
    <w:name w:val="jrnl"/>
    <w:basedOn w:val="DefaultParagraphFont"/>
    <w:rsid w:val="000B194F"/>
  </w:style>
  <w:style w:type="character" w:customStyle="1" w:styleId="ListLabel1">
    <w:name w:val="ListLabel 1"/>
    <w:rsid w:val="000B194F"/>
    <w:rPr>
      <w:sz w:val="20"/>
    </w:rPr>
  </w:style>
  <w:style w:type="character" w:customStyle="1" w:styleId="ListLabel2">
    <w:name w:val="ListLabel 2"/>
    <w:rsid w:val="000B194F"/>
    <w:rPr>
      <w:rFonts w:cs="Courier New"/>
    </w:rPr>
  </w:style>
  <w:style w:type="paragraph" w:customStyle="1" w:styleId="Heading">
    <w:name w:val="Heading"/>
    <w:basedOn w:val="Normal"/>
    <w:next w:val="Textbody"/>
    <w:rsid w:val="000B194F"/>
    <w:pPr>
      <w:keepNext/>
      <w:spacing w:before="240" w:after="120"/>
    </w:pPr>
    <w:rPr>
      <w:rFonts w:ascii="Arial" w:hAnsi="Arial" w:cs="Lohit Hindi"/>
      <w:sz w:val="28"/>
      <w:szCs w:val="28"/>
    </w:rPr>
  </w:style>
  <w:style w:type="paragraph" w:customStyle="1" w:styleId="Textbody">
    <w:name w:val="Text body"/>
    <w:basedOn w:val="Normal"/>
    <w:rsid w:val="000B194F"/>
    <w:pPr>
      <w:spacing w:after="120"/>
    </w:pPr>
  </w:style>
  <w:style w:type="paragraph" w:styleId="List">
    <w:name w:val="List"/>
    <w:basedOn w:val="Textbody"/>
    <w:rsid w:val="000B194F"/>
    <w:rPr>
      <w:rFonts w:cs="Lohit Hindi"/>
    </w:rPr>
  </w:style>
  <w:style w:type="paragraph" w:styleId="Caption">
    <w:name w:val="caption"/>
    <w:basedOn w:val="Normal"/>
    <w:uiPriority w:val="35"/>
    <w:qFormat/>
    <w:rsid w:val="000B194F"/>
    <w:pPr>
      <w:suppressLineNumbers/>
      <w:spacing w:before="120" w:after="120"/>
    </w:pPr>
    <w:rPr>
      <w:rFonts w:cs="Lohit Hindi"/>
      <w:i/>
      <w:iCs/>
      <w:sz w:val="24"/>
      <w:szCs w:val="24"/>
    </w:rPr>
  </w:style>
  <w:style w:type="paragraph" w:customStyle="1" w:styleId="Index">
    <w:name w:val="Index"/>
    <w:basedOn w:val="Normal"/>
    <w:rsid w:val="000B194F"/>
    <w:pPr>
      <w:suppressLineNumbers/>
    </w:pPr>
    <w:rPr>
      <w:rFonts w:cs="Lohit Hindi"/>
    </w:rPr>
  </w:style>
  <w:style w:type="paragraph" w:styleId="NormalWeb">
    <w:name w:val="Normal (Web)"/>
    <w:basedOn w:val="Normal"/>
    <w:rsid w:val="000B194F"/>
    <w:pPr>
      <w:spacing w:before="28" w:after="28" w:line="100" w:lineRule="atLeast"/>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0B194F"/>
    <w:pPr>
      <w:ind w:left="720"/>
    </w:pPr>
  </w:style>
  <w:style w:type="paragraph" w:customStyle="1" w:styleId="Default">
    <w:name w:val="Default"/>
    <w:uiPriority w:val="99"/>
    <w:rsid w:val="000A082C"/>
    <w:pPr>
      <w:widowControl w:val="0"/>
      <w:autoSpaceDE w:val="0"/>
      <w:autoSpaceDN w:val="0"/>
      <w:adjustRightInd w:val="0"/>
      <w:spacing w:after="0" w:line="240" w:lineRule="auto"/>
    </w:pPr>
    <w:rPr>
      <w:rFonts w:ascii="REVODZ+Arial-BoldMT" w:eastAsia="Times New Roman" w:hAnsi="REVODZ+Arial-BoldMT" w:cs="REVODZ+Arial-BoldMT"/>
      <w:color w:val="000000"/>
      <w:sz w:val="24"/>
      <w:szCs w:val="24"/>
      <w:lang w:val="en-US" w:eastAsia="en-US"/>
    </w:rPr>
  </w:style>
  <w:style w:type="paragraph" w:styleId="BalloonText">
    <w:name w:val="Balloon Text"/>
    <w:basedOn w:val="Normal"/>
    <w:link w:val="BalloonTextChar"/>
    <w:uiPriority w:val="99"/>
    <w:semiHidden/>
    <w:unhideWhenUsed/>
    <w:rsid w:val="000034D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34D5"/>
    <w:rPr>
      <w:rFonts w:ascii="Lucida Grande" w:eastAsia="WenQuanYi Zen Hei" w:hAnsi="Lucida Grande" w:cs="Lucida Grande"/>
      <w:sz w:val="18"/>
      <w:szCs w:val="18"/>
      <w:lang w:eastAsia="en-US"/>
    </w:rPr>
  </w:style>
  <w:style w:type="character" w:styleId="Hyperlink">
    <w:name w:val="Hyperlink"/>
    <w:basedOn w:val="DefaultParagraphFont"/>
    <w:uiPriority w:val="99"/>
    <w:unhideWhenUsed/>
    <w:rsid w:val="00435160"/>
    <w:rPr>
      <w:color w:val="0000FF" w:themeColor="hyperlink"/>
      <w:u w:val="single"/>
    </w:rPr>
  </w:style>
  <w:style w:type="character" w:styleId="FollowedHyperlink">
    <w:name w:val="FollowedHyperlink"/>
    <w:basedOn w:val="DefaultParagraphFont"/>
    <w:uiPriority w:val="99"/>
    <w:semiHidden/>
    <w:unhideWhenUsed/>
    <w:rsid w:val="00435160"/>
    <w:rPr>
      <w:color w:val="800080" w:themeColor="followedHyperlink"/>
      <w:u w:val="single"/>
    </w:rPr>
  </w:style>
  <w:style w:type="paragraph" w:styleId="Footer">
    <w:name w:val="footer"/>
    <w:basedOn w:val="Normal"/>
    <w:link w:val="FooterChar"/>
    <w:uiPriority w:val="99"/>
    <w:unhideWhenUsed/>
    <w:rsid w:val="00AF2504"/>
    <w:pPr>
      <w:tabs>
        <w:tab w:val="clear" w:pos="720"/>
        <w:tab w:val="center" w:pos="4320"/>
        <w:tab w:val="right" w:pos="8640"/>
      </w:tabs>
      <w:spacing w:after="0" w:line="240" w:lineRule="auto"/>
    </w:pPr>
  </w:style>
  <w:style w:type="character" w:customStyle="1" w:styleId="FooterChar">
    <w:name w:val="Footer Char"/>
    <w:basedOn w:val="DefaultParagraphFont"/>
    <w:link w:val="Footer"/>
    <w:uiPriority w:val="99"/>
    <w:rsid w:val="00AF2504"/>
    <w:rPr>
      <w:rFonts w:ascii="Calibri" w:eastAsia="WenQuanYi Zen Hei" w:hAnsi="Calibri"/>
      <w:lang w:eastAsia="en-US"/>
    </w:rPr>
  </w:style>
  <w:style w:type="character" w:styleId="PageNumber">
    <w:name w:val="page number"/>
    <w:basedOn w:val="DefaultParagraphFont"/>
    <w:uiPriority w:val="99"/>
    <w:semiHidden/>
    <w:unhideWhenUsed/>
    <w:rsid w:val="00AF2504"/>
  </w:style>
  <w:style w:type="character" w:customStyle="1" w:styleId="UnresolvedMention1">
    <w:name w:val="Unresolved Mention1"/>
    <w:basedOn w:val="DefaultParagraphFont"/>
    <w:uiPriority w:val="99"/>
    <w:semiHidden/>
    <w:unhideWhenUsed/>
    <w:rsid w:val="00F67D26"/>
    <w:rPr>
      <w:color w:val="605E5C"/>
      <w:shd w:val="clear" w:color="auto" w:fill="E1DFDD"/>
    </w:rPr>
  </w:style>
  <w:style w:type="character" w:styleId="CommentReference">
    <w:name w:val="annotation reference"/>
    <w:basedOn w:val="DefaultParagraphFont"/>
    <w:uiPriority w:val="99"/>
    <w:semiHidden/>
    <w:unhideWhenUsed/>
    <w:rsid w:val="00E405ED"/>
    <w:rPr>
      <w:sz w:val="16"/>
      <w:szCs w:val="16"/>
    </w:rPr>
  </w:style>
  <w:style w:type="paragraph" w:styleId="CommentText">
    <w:name w:val="annotation text"/>
    <w:basedOn w:val="Normal"/>
    <w:link w:val="CommentTextChar"/>
    <w:uiPriority w:val="99"/>
    <w:unhideWhenUsed/>
    <w:rsid w:val="00E405ED"/>
    <w:pPr>
      <w:spacing w:line="240" w:lineRule="auto"/>
    </w:pPr>
    <w:rPr>
      <w:sz w:val="20"/>
      <w:szCs w:val="20"/>
    </w:rPr>
  </w:style>
  <w:style w:type="character" w:customStyle="1" w:styleId="CommentTextChar">
    <w:name w:val="Comment Text Char"/>
    <w:basedOn w:val="DefaultParagraphFont"/>
    <w:link w:val="CommentText"/>
    <w:uiPriority w:val="99"/>
    <w:rsid w:val="00E405ED"/>
    <w:rPr>
      <w:rFonts w:ascii="Calibri" w:eastAsia="WenQuanYi Zen Hei" w:hAnsi="Calibri"/>
      <w:sz w:val="20"/>
      <w:szCs w:val="20"/>
      <w:lang w:eastAsia="en-US"/>
    </w:rPr>
  </w:style>
  <w:style w:type="paragraph" w:styleId="CommentSubject">
    <w:name w:val="annotation subject"/>
    <w:basedOn w:val="CommentText"/>
    <w:next w:val="CommentText"/>
    <w:link w:val="CommentSubjectChar"/>
    <w:uiPriority w:val="99"/>
    <w:semiHidden/>
    <w:unhideWhenUsed/>
    <w:rsid w:val="00E405ED"/>
    <w:rPr>
      <w:b/>
      <w:bCs/>
    </w:rPr>
  </w:style>
  <w:style w:type="character" w:customStyle="1" w:styleId="CommentSubjectChar">
    <w:name w:val="Comment Subject Char"/>
    <w:basedOn w:val="CommentTextChar"/>
    <w:link w:val="CommentSubject"/>
    <w:uiPriority w:val="99"/>
    <w:semiHidden/>
    <w:rsid w:val="00E405ED"/>
    <w:rPr>
      <w:rFonts w:ascii="Calibri" w:eastAsia="WenQuanYi Zen Hei" w:hAnsi="Calibri"/>
      <w:b/>
      <w:bCs/>
      <w:sz w:val="20"/>
      <w:szCs w:val="20"/>
      <w:lang w:eastAsia="en-US"/>
    </w:rPr>
  </w:style>
  <w:style w:type="table" w:customStyle="1" w:styleId="TableGrid1">
    <w:name w:val="Table Grid1"/>
    <w:basedOn w:val="TableNormal"/>
    <w:next w:val="TableGrid"/>
    <w:uiPriority w:val="59"/>
    <w:unhideWhenUsed/>
    <w:rsid w:val="00004756"/>
    <w:pPr>
      <w:spacing w:after="0" w:line="240" w:lineRule="auto"/>
    </w:pPr>
    <w:rPr>
      <w:rFonts w:eastAsia="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0047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
    <w:name w:val="highlight"/>
    <w:basedOn w:val="DefaultParagraphFont"/>
    <w:rsid w:val="00FD42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7367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ldlink.nci.nih.gov/?tab=ldproxy" TargetMode="Externa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17"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984351-5A80-4280-9568-B5B536B28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5</Pages>
  <Words>916</Words>
  <Characters>5223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King's College London</Company>
  <LinksUpToDate>false</LinksUpToDate>
  <CharactersWithSpaces>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Giulietta Sophie Monasso</cp:lastModifiedBy>
  <cp:revision>5</cp:revision>
  <dcterms:created xsi:type="dcterms:W3CDTF">2021-04-11T12:43:00Z</dcterms:created>
  <dcterms:modified xsi:type="dcterms:W3CDTF">2021-04-13T06:13:00Z</dcterms:modified>
</cp:coreProperties>
</file>