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Relazione della sezione in calcestruzzo armato</w:t>
      </w:r>
    </w:p>
    <w:p>
      <w:pPr>
        <w:pStyle w:val="Subtitle"/>
      </w:pPr>
      <w:r>
        <w:t xml:space="preserve">Controllo integrazione CA</w:t>
      </w:r>
    </w:p>
    <w:p>
      <w:pPr>
        <w:pStyle w:val="Normal"/>
      </w:pPr>
      <w:r>
        <w:t xml:space="preserve">ANTHEA · 24/09/2026 14:20</w:t>
      </w:r>
    </w:p>
    <w:p>
      <w:pPr>
        <w:pStyle w:val="Heading1"/>
      </w:pPr>
      <w:r>
        <w:t xml:space="preserve">Ambito e limiti</w:t>
      </w:r>
    </w:p>
    <w:p>
      <w:pPr>
        <w:pStyle w:val="Normal"/>
      </w:pPr>
      <w:r>
        <w:t xml:space="preserve">Normativa selezionata: NTC 2018. Motore GPC Checker collegato tramite DLL. Compressione negativa; geometria in mm, tensioni in MPa, deformazioni in ‰, azioni N e V in kN, momenti in kNm. Arrotondamenti solo di presentazione.</w:t>
      </w:r>
    </w:p>
    <w:p>
      <w:pPr>
        <w:pStyle w:val="Normal"/>
      </w:pPr>
      <w:r>
        <w:t xml:space="preserve">NTC 2018 · coefficienti della DLL; taglio e fessurazione nei limiti documentati del modulo. Coefficienti modificabili: verificare eventuali deroghe.</w:t>
      </w:r>
    </w:p>
    <w:p>
      <w:pPr>
        <w:pStyle w:val="Normal"/>
      </w:pPr>
      <w:r>
        <w:t xml:space="preserve">Questo report non attesta una verifica normativa completa. La presenza di un dominio o di tensioni calcolate non implica la conformità delle altre verifiche. I filtri e le opzioni grafiche non escludono combinazioni dai calcoli. Leggere gli esiti non determinati, fuori piano e non implementati.</w:t>
      </w:r>
    </w:p>
    <w:p>
      <w:pPr>
        <w:pStyle w:val="Normal"/>
      </w:pPr>
      <w:r>
        <w:t xml:space="preserve">Taglio NTC nelle due direzioni; per le circolari il modello e i parametri sono espliciti. Torsione su profilo periferico rettangolare o circolare, pieno o cavo, con staffe chiuse. Per Vx+Vy+T si sommano conservativamente i contributi sul calcestruzzo. Dettagli del capitolo 4 e integrazioni EC2; gerarchia sismica e verifiche locali degli appoggi richiedono il modello dell’elemento. Fessurazione solo lineare, comprese le sezioni interamente tese; leggere i limiti per combinazione.</w:t>
      </w:r>
    </w:p>
    <w:p>
      <w:pPr>
        <w:pStyle w:val="Heading1"/>
      </w:pPr>
      <w:r>
        <w:t xml:space="preserve">Input</w:t>
      </w:r>
    </w:p>
    <w:p>
      <w:pPr>
        <w:pStyle w:val="Heading2"/>
      </w:pPr>
      <w:r>
        <w:t xml:space="preserve">Geometria della sezione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Forma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Rettangolare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h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800.00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Copriferro netto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70.00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Caption"/>
      </w:pPr>
      <w:r>
        <w:t xml:space="preserve">Sezione e schema indicativo delle staffe</w:t>
      </w:r>
    </w:p>
    <w:p>
      <w:r>
        <w:drawing>
          <inline xmlns="http://schemas.openxmlformats.org/drawingml/2006/wordprocessingDrawing">
            <extent cx="5800000" cy="3625000"/>
            <docPr id="1" name="Sezione e schema indicativo delle staffe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image.png"/>
                    <cNvPicPr/>
                  </nvPicPr>
                  <blipFill>
                    <blip xmlns="http://schemas.openxmlformats.org/drawingml/2006/main" r:embed="img0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2"/>
      </w:pPr>
      <w:r>
        <w:t xml:space="preserve">Armature longitudinali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ID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x [mm]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y [mm]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Ø [mm]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-70.00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70.00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-124.80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-41.60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41.60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124.80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-212.00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-104.00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212.00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-104.00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-212.00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104.00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212.00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104.00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16.00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Staffe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Presenti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Sì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Ø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Passo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200.00</w:t>
            </w:r>
          </w:p>
        </w:tc>
      </w:tr>
    </w:tbl>
    <w:p>
      <w:pPr>
        <w:pStyle w:val="Normal"/>
      </w:pPr>
      <w:r>
        <w:t xml:space="preserve"/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tipo staffa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Staffa chiusa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x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y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interni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Sollecitazioni</w:t>
      </w:r>
    </w:p>
    <w:p>
      <w:pPr>
        <w:pStyle w:val="Heading2"/>
      </w:pPr>
      <w:r>
        <w:t xml:space="preserve">Plastico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250.00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Elastico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250.00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Rara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250.00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Frequente</w:t>
      </w:r>
    </w:p>
    <w:p>
      <w:pPr>
        <w:pStyle w:val="Normal"/>
      </w:pPr>
      <w:r>
        <w:t xml:space="preserve">Nessun dato inserito o risultato disponibile.</w:t>
      </w:r>
    </w:p>
    <w:p>
      <w:pPr>
        <w:pStyle w:val="Heading2"/>
      </w:pPr>
      <w:r>
        <w:t xml:space="preserve">Quasi permanente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Trazione pura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300.00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0.00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Taglio e torsione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905"/>
        <w:gridCol w:w="1614"/>
        <w:gridCol w:w="1614"/>
        <w:gridCol w:w="1614"/>
        <w:gridCol w:w="1613"/>
      </w:tblGrid>
      <w:tr>
        <w:trPr>
          <w:cantSplit/>
          <w:tblHeader/>
        </w:trPr>
        <w:tc>
          <w:tcPr>
            <w:tcW w:w="290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Vx [kN]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Vy [kN]</w:t>
            </w:r>
          </w:p>
        </w:tc>
        <w:tc>
          <w:tcPr>
            <w:tcW w:w="1613" w:type="dxa"/>
            <w:vAlign w:val="center"/>
            <w:shd w:fill="E8EFF7"/>
          </w:tcPr>
          <w:p>
            <w:pPr>
              <w:pStyle w:val="TableHeader"/>
            </w:pPr>
            <w:r>
              <w:t xml:space="preserve">T [kNm]</w:t>
            </w:r>
          </w:p>
        </w:tc>
      </w:tr>
      <w:tr>
        <w:trPr>
          <w:cantSplit/>
        </w:trPr>
        <w:tc>
          <w:tcPr>
            <w:tcW w:w="2905" w:type="dxa"/>
            <w:vAlign w:val="center"/>
          </w:tcPr>
          <w:p>
            <w:pPr>
              <w:pStyle w:val="TableText"/>
            </w:pPr>
            <w:r>
              <w:t xml:space="preserve">Taglio e torsione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-300.00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50.00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30.00</w:t>
            </w:r>
          </w:p>
        </w:tc>
        <w:tc>
          <w:tcPr>
            <w:tcW w:w="1613" w:type="dxa"/>
            <w:vAlign w:val="center"/>
          </w:tcPr>
          <w:p>
            <w:pPr>
              <w:pStyle w:val="TableText"/>
              <w:jc w:val="center"/>
            </w:pPr>
            <w:r>
              <w:t xml:space="preserve">20.00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Verifiche a taglio</w:t>
      </w:r>
    </w:p>
    <w:p>
      <w:pPr>
        <w:pStyle w:val="Heading2"/>
      </w:pPr>
      <w:r>
        <w:t xml:space="preserve">Modello a taglio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Modello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Con staffe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800.00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509.91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Asl,x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1168.67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αx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θx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708.00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Asl,y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1256.64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αy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θy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Normal"/>
      </w:pPr>
      <w:r>
        <w:t xml:space="preserve"/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VEd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VRd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 [-]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 · x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-300.00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50.00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141.04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0.35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Resistenza sufficiente · dettagli da verificare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 · y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-300.00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30.00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195.83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0.15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Resistenza sufficiente · dettagli da verificare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Torsione e modello circolare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Modello circolare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Da scegliere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Parametri geometrici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Automatici da sezione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z/d assegnato (modello manuale)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0.75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 comune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As,l disponibile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Configurazione resistente confermata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Confermato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Modello pile NTC §7.9.5.2: z/d = 0,75 per piena, 0,60 per cava. Torsione: TRcd = 2 Ak t (0,5 fcd) cot θ/(1+cot²θ); TRsd = 2 Ak (Asta/s) fyd cot θ; TRld = 2 Ak (As,l/uk) fyd/cot θ. As,l aggiuntiva rispetto alla pressoflessione.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TRd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ηT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ηc,V+T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ηs,V+T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58.30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0.34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0.08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0.61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Torsione e interazione soddisfatte nel modello assegnato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Taglio e torsione: Ak = 256256.00 mm²; uk = 2064.00 mm; t = 184.00 mm; As,l richiesta = 205.84 mm².</w:t>
      </w:r>
    </w:p>
    <w:p>
      <w:pPr>
        <w:pStyle w:val="Caption"/>
      </w:pPr>
      <w:r>
        <w:t xml:space="preserve">Schema indicativo delle staffe · diametro rappresentato in scala</w:t>
      </w:r>
    </w:p>
    <w:p>
      <w:r>
        <w:drawing>
          <inline xmlns="http://schemas.openxmlformats.org/drawingml/2006/wordprocessingDrawing">
            <extent cx="5800000" cy="3625000"/>
            <docPr id="2" name="Schema indicativo delle staffe · diametro rappresentato in scala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" name="image.png"/>
                    <cNvPicPr/>
                  </nvPicPr>
                  <blipFill>
                    <blip xmlns="http://schemas.openxmlformats.org/drawingml/2006/main" r:embed="img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1"/>
      </w:pPr>
      <w:r>
        <w:t xml:space="preserve">Dettagli costruttivi e ancoraggi</w:t>
      </w:r>
    </w:p>
    <w:p>
      <w:pPr>
        <w:pStyle w:val="Normal"/>
      </w:pPr>
      <w:r>
        <w:t xml:space="preserve">Pilastro · NEd,max compressione = 2500 kN
7 soddisfatti · 2 non soddisfatti · 1 da completare
OK · Interferro minimo
Valore: 59.2 · limite: 25 mm
max(20 mm; Ømax; dg + 5 mm), controllo conservativo su tutte le coppie.
NTC 2018 §4.1.6.1.3 / EC2 §8.2
OK · Copriferro nominale
Valore: 70 · limite: 35 mm
max(10; cmin,dur; cmin,b) + Δcdev. cmin,dur proviene dal progetto di durabilità.
NTC 2018 §4.1.6.1.3 / EC2 §4.4
OK · Margine copriferro barre longitudinali
Valore: 45 · limite: 0 mm
Minimo (copriferro geometrico della barra − copriferro richiesto), su contorno esterno e foro. Stessa classe di esposizione per tutte le superfici.
NTC 2018 §4.1.6.1.3 / EC2 §4.4
OK · Diametro longitudinale
Valore: 16 · limite: 12 mm
Ømin ≥ 12 mm
NTC 2018 §4.1.6.1.2
NON SODDISFATTO · Interasse longitudinale
Valore: 424 · limite: 300 mm
Interasse sulle facce / sul perimetro ≤ 300 mm.
NTC 2018 §4.1.6.1.2
OK · Armatura longitudinale minima
Valore: 4775.221 · limite: 1440 mm²
max(0,10 NEd/fyd; 0,003 Ac), NEd massimo di compressione fra le combinazioni.
NTC 2018 §4.1.6.1.2
OK · Armatura longitudinale massima
Valore: 4775.221 · limite: 19200 mm²
As ≤ 0,04 Ac fuori dalle sovrapposizioni.
NTC 2018 §4.1.6.1.2
OK · Diametro staffe
Valore: 10 · limite: 6 mm
max(6 mm; Ølong,max/4)
NTC 2018 §4.1.6.1.2
NON SODDISFATTO · Passo staffe
Valore: 200 · limite: 192 mm
min(250 mm; 12 Ølong,min)
NTC 2018 §4.1.6.1.2
DA COMPLETARE · Barre trattenute dalle staffe
Valore: — · limite: — 
Confermare la disposizione effettiva di staffe e legature sulle barre compresse.
NTC 2018 §4.1.6.1
</w:t>
      </w:r>
    </w:p>
    <w:p>
      <w:pPr>
        <w:pStyle w:val="Normal"/>
      </w:pPr>
      <w:r>
        <w:t xml:space="preserve">Ancoraggio rettilineo · Ø24
σsd = 391.304 MPa
fbd = 3.37 MPa
lb,rqd = 696.589 mm
Lunghezza richiesta = 696.589 mm
Disponibile = 1200 mm
Lunghezza e interferro soddisfatti
lb,rqd = Ø·σsd/(4fbd); lbd = max(lb,rqd; 20Ø; 150 mm). Barra rettilinea, nessuna riduzione favorevole.
NTC §§4.1.2.1.1.4, 4.1.2.3.10, 4.1.6.1.4 / EC2 §§8.4 e 8.7.
Confinamento, posizione delle giunzioni e cautele per Ø &gt; 32 mm devono essere verificati nel dettaglio esecutivo.</w:t>
      </w:r>
    </w:p>
    <w:p>
      <w:pPr>
        <w:pStyle w:val="Heading1"/>
      </w:pPr>
      <w:r>
        <w:t xml:space="preserve">Diagramma momento–curvatura</w:t>
      </w:r>
    </w:p>
    <w:p>
      <w:pPr>
        <w:pStyle w:val="Heading2"/>
      </w:pPr>
      <w:r>
        <w:t xml:space="preserve">Percorso di carico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N costante [kN]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-500.00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Direzione momento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12.00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Frazione di MRd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Campionamento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Quadratico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a trazione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Ramo a momento crescente, N costante. Leggi e coefficienti dei materiali della sezione. N del punto limite = -500.160807 kN; residuo = -0.160807 kN (tolleranza assegnata 1 kN). χ è il modulo del gradiente [1/m]; la direzione del momento è imposta, quella della curvatura può differire nelle sezioni asimmetriche. Nessun ramo post-picco.</w:t>
      </w:r>
    </w:p>
    <w:p>
      <w:pPr>
        <w:pStyle w:val="Normal"/>
      </w:pPr>
      <w:r>
        <w:t xml:space="preserve">MRd = 945.71 kNm; χy = 0.02 1/m; χu = 0.02 1/m.</w:t>
      </w:r>
    </w:p>
    <w:p>
      <w:pPr>
        <w:pStyle w:val="Caption"/>
      </w:pPr>
      <w:r>
        <w:t xml:space="preserve">Momento–curvatura · percorso assegnato</w:t>
      </w:r>
    </w:p>
    <w:p>
      <w:r>
        <w:drawing>
          <inline xmlns="http://schemas.openxmlformats.org/drawingml/2006/wordprocessingDrawing">
            <extent cx="5800000" cy="3625000"/>
            <docPr id="3" name="Momento–curvatura · percorso assegnato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3" name="image.png"/>
                    <cNvPicPr/>
                  </nvPicPr>
                  <blipFill>
                    <blip xmlns="http://schemas.openxmlformats.org/drawingml/2006/main" r:embed="img2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M [kNm]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χ [1/m]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ε0 [‰]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εc,comp [‰]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|εs|max [‰]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7.58E-6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-0.05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0.05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6.57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1.96E-5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-0.05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0.06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26.27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5.57E-5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-0.05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0.07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59.11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1.16E-4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-0.05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0.10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0.09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105.08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2.25E-4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-0.05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0.14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0.12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164.19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4.67E-4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-0.02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0.21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0.17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236.43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8.39E-4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0.30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0.29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321.80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1.31E-3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0.42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0.51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420.31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1.88E-3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0.55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0.78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531.96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2.53E-3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0.30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0.71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1.08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656.74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3.27E-3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0.42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0.89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1.43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794.66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4.11E-3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0.55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1.09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1.82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945.71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-3.50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3.50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12.15</w:t>
            </w:r>
          </w:p>
        </w:tc>
      </w:tr>
    </w:tbl>
    <w:p>
      <w:pPr>
        <w:pStyle w:val="Normal"/>
      </w:pPr>
      <w:r>
        <w:t xml:space="preserve"/>
      </w:r>
    </w:p>
    <w:sectPr>
      <w:pgSz w:w="11906" w:h="16838"/>
      <w:pgMar w:top="1134" w:bottom="1134" w:left="1273" w:right="1273"/>
    </w:sectPr>
  </w:body>
</w:document>
</file>

<file path=word/styles.xml><?xml version="1.0" encoding="utf-8"?>
<styles xmlns="http://schemas.openxmlformats.org/wordprocessingml/2006/main">
  <style xmlns:p2="http://schemas.openxmlformats.org/wordprocessingml/2006/main" p2:type="paragraph" p2:styleId="Normal">
    <p2:name p2:val="Normal"/>
    <p2:pPr>
      <p2:spacing p2:before="0" p2:after="100"/>
      <p2:widowControl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itle">
    <p2:name p2:val="Title"/>
    <p2:pPr>
      <p2:spacing p2:before="0" p2:after="100"/>
      <p2:widowControl/>
      <p2:keepNext/>
    </p2:pPr>
    <p2:rPr>
      <p2:rFonts p2:ascii="Calibri" p2:hAnsi="Calibri"/>
      <p2:sz p2:val="36"/>
      <p2:color p2:val="000000"/>
      <p2:b/>
    </p2:rPr>
  </style>
  <style xmlns:p2="http://schemas.openxmlformats.org/wordprocessingml/2006/main" p2:type="paragraph" p2:styleId="Subtitle">
    <p2:name p2:val="Subtitle"/>
    <p2:pPr>
      <p2:spacing p2:before="0" p2:after="180"/>
      <p2:widowControl/>
      <p2:keepNext/>
    </p2:pPr>
    <p2:rPr>
      <p2:rFonts p2:ascii="Calibri" p2:hAnsi="Calibri"/>
      <p2:sz p2:val="26"/>
      <p2:color p2:val="000000"/>
    </p2:rPr>
  </style>
  <style xmlns:p2="http://schemas.openxmlformats.org/wordprocessingml/2006/main" p2:type="paragraph" p2:styleId="Heading1">
    <p2:name p2:val="Heading1"/>
    <p2:pPr>
      <p2:spacing p2:before="250" p2:after="130"/>
      <p2:widowControl/>
      <p2:keepNext/>
      <p2:outlineLvl p2:val="0"/>
    </p2:pPr>
    <p2:rPr>
      <p2:rFonts p2:ascii="Calibri" p2:hAnsi="Calibri"/>
      <p2:sz p2:val="28"/>
      <p2:color p2:val="000000"/>
      <p2:b/>
    </p2:rPr>
  </style>
  <style xmlns:p2="http://schemas.openxmlformats.org/wordprocessingml/2006/main" p2:type="paragraph" p2:styleId="Heading2">
    <p2:name p2:val="Heading2"/>
    <p2:pPr>
      <p2:spacing p2:before="180" p2:after="90"/>
      <p2:widowControl/>
      <p2:keepNext/>
      <p2:outlineLvl p2:val="1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Caption">
    <p2:name p2:val="Caption"/>
    <p2:pPr>
      <p2:spacing p2:before="0" p2:after="100"/>
      <p2:widowControl/>
      <p2:keepNext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ableText">
    <p2:name p2:val="TableText"/>
    <p2:pPr>
      <p2:spacing p2:before="0" p2:after="45"/>
      <p2:widowControl/>
    </p2:pPr>
    <p2:rPr>
      <p2:rFonts p2:ascii="Calibri" p2:hAnsi="Calibri"/>
      <p2:sz p2:val="19"/>
      <p2:color p2:val="000000"/>
    </p2:rPr>
  </style>
  <style xmlns:p2="http://schemas.openxmlformats.org/wordprocessingml/2006/main" p2:type="paragraph" p2:styleId="TableHeader">
    <p2:name p2:val="TableHeader"/>
    <p2:pPr>
      <p2:spacing p2:before="0" p2:after="45"/>
      <p2:widowControl/>
      <p2:keepNext/>
    </p2:pPr>
    <p2:rPr>
      <p2:rFonts p2:ascii="Calibri" p2:hAnsi="Calibri"/>
      <p2:sz p2:val="19"/>
      <p2:color p2:val="000000"/>
      <p2:b/>
    </p2:rPr>
  </style>
</styles>
</file>

<file path=word/_rels/document.xml.rels><Relationships xmlns="http://schemas.openxmlformats.org/package/2006/relationships">
  <Relationship Id="styles" Type="http://schemas.openxmlformats.org/officeDocument/2006/relationships/styles" Target="styles.xml" />
  <Relationship Id="img0" Type="http://schemas.openxmlformats.org/officeDocument/2006/relationships/image" Target="media/image0.png" />
  <Relationship Id="img1" Type="http://schemas.openxmlformats.org/officeDocument/2006/relationships/image" Target="media/image1.png" />
  <Relationship Id="img2" Type="http://schemas.openxmlformats.org/officeDocument/2006/relationships/image" Target="media/image2.png" />
</Relationships>
</file>